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71E29A" w14:textId="77777777" w:rsidR="006E2F88" w:rsidRDefault="00000000">
      <w:r>
        <w:rPr>
          <w:b/>
          <w:bCs/>
          <w:color w:val="2A2A2A"/>
          <w:sz w:val="28"/>
          <w:szCs w:val="28"/>
        </w:rPr>
        <w:t>Book Proposal</w:t>
      </w:r>
    </w:p>
    <w:p w14:paraId="240F17E5" w14:textId="77777777" w:rsidR="006E2F88" w:rsidRDefault="006E2F88"/>
    <w:p w14:paraId="72147FE2" w14:textId="77777777" w:rsidR="006E2F88" w:rsidRDefault="00000000">
      <w:pPr>
        <w:jc w:val="center"/>
      </w:pPr>
      <w:r>
        <w:rPr>
          <w:b/>
          <w:bCs/>
          <w:i/>
          <w:iCs/>
          <w:color w:val="2A2A2A"/>
          <w:sz w:val="28"/>
          <w:szCs w:val="28"/>
        </w:rPr>
        <w:t>The Veneer of the Imperial Presidency:</w:t>
      </w:r>
    </w:p>
    <w:p w14:paraId="177AFD30" w14:textId="77777777" w:rsidR="006E2F88" w:rsidRDefault="00000000">
      <w:pPr>
        <w:jc w:val="center"/>
      </w:pPr>
      <w:r>
        <w:rPr>
          <w:b/>
          <w:bCs/>
          <w:i/>
          <w:iCs/>
          <w:color w:val="2A2A2A"/>
          <w:sz w:val="28"/>
          <w:szCs w:val="28"/>
        </w:rPr>
        <w:t>Risk, Blame, and War-Making in the Shadow of Congress</w:t>
      </w:r>
    </w:p>
    <w:p w14:paraId="644FC61E" w14:textId="77777777" w:rsidR="006E2F88" w:rsidRDefault="006E2F88"/>
    <w:p w14:paraId="63706921" w14:textId="77777777" w:rsidR="006E2F88" w:rsidRDefault="00000000">
      <w:pPr>
        <w:jc w:val="center"/>
      </w:pPr>
      <w:r>
        <w:rPr>
          <w:b/>
          <w:bCs/>
          <w:color w:val="2A2A2A"/>
        </w:rPr>
        <w:t>M. Patrick Hulme</w:t>
      </w:r>
    </w:p>
    <w:p w14:paraId="7D787C14" w14:textId="3EE165B8" w:rsidR="006E2F88" w:rsidRDefault="00000000" w:rsidP="0055346B">
      <w:pPr>
        <w:jc w:val="center"/>
      </w:pPr>
      <w:r>
        <w:rPr>
          <w:color w:val="2A2A2A"/>
        </w:rPr>
        <w:t xml:space="preserve">Assistant Professor </w:t>
      </w:r>
    </w:p>
    <w:p w14:paraId="123D125D" w14:textId="77777777" w:rsidR="006E2F88" w:rsidRDefault="00000000">
      <w:pPr>
        <w:jc w:val="center"/>
      </w:pPr>
      <w:r>
        <w:rPr>
          <w:color w:val="2A2A2A"/>
        </w:rPr>
        <w:t>University of Florida</w:t>
      </w:r>
    </w:p>
    <w:p w14:paraId="4BF64071" w14:textId="77777777" w:rsidR="006E2F88" w:rsidRDefault="00000000">
      <w:pPr>
        <w:jc w:val="center"/>
      </w:pPr>
      <w:r>
        <w:rPr>
          <w:color w:val="2A2A2A"/>
        </w:rPr>
        <w:t>Patrick.hulme@ufl.edu</w:t>
      </w:r>
    </w:p>
    <w:p w14:paraId="411313E8" w14:textId="77777777" w:rsidR="006E2F88" w:rsidRDefault="00000000">
      <w:pPr>
        <w:jc w:val="center"/>
      </w:pPr>
      <w:r>
        <w:rPr>
          <w:color w:val="2A2A2A"/>
        </w:rPr>
        <w:t>ORCID: 0000-0001-6212-3290</w:t>
      </w:r>
    </w:p>
    <w:p w14:paraId="13EF717E" w14:textId="77777777" w:rsidR="006E2F88" w:rsidRDefault="006E2F88"/>
    <w:p w14:paraId="63E1A9D1" w14:textId="77777777" w:rsidR="006E2F88" w:rsidRDefault="00000000">
      <w:pPr>
        <w:jc w:val="center"/>
      </w:pPr>
      <w:r>
        <w:rPr>
          <w:b/>
          <w:bCs/>
          <w:color w:val="2A2A2A"/>
        </w:rPr>
        <w:t>September 2026</w:t>
      </w:r>
    </w:p>
    <w:p w14:paraId="633C95DC" w14:textId="77777777" w:rsidR="006E2F88" w:rsidRDefault="006E2F88"/>
    <w:p w14:paraId="264DF815" w14:textId="77777777" w:rsidR="006E2F88" w:rsidRDefault="00000000">
      <w:pPr>
        <w:keepNext/>
        <w:spacing w:after="180" w:line="276" w:lineRule="auto"/>
        <w:jc w:val="both"/>
      </w:pPr>
      <w:r>
        <w:rPr>
          <w:b/>
          <w:bCs/>
        </w:rPr>
        <w:t>Brief Description</w:t>
      </w:r>
    </w:p>
    <w:p w14:paraId="18330B55" w14:textId="77777777" w:rsidR="006E2F88" w:rsidRDefault="00000000">
      <w:pPr>
        <w:spacing w:after="240" w:line="276" w:lineRule="auto"/>
        <w:jc w:val="both"/>
      </w:pPr>
      <w:r>
        <w:t xml:space="preserve">It has long been a presumption that the president enjoys vast powers with respect to decisions to intervene with military force abroad: the United States has an “imperial presidency.” This book challenges the conventional wisdom by arguing that this is, to a substantial extent, a strategically cultivated facade. Presidents </w:t>
      </w:r>
      <w:proofErr w:type="gramStart"/>
      <w:r>
        <w:t>have to</w:t>
      </w:r>
      <w:proofErr w:type="gramEnd"/>
      <w:r>
        <w:t xml:space="preserve"> operate in the shadow of Congress: they realize that if they act absent sufficient political cover from lawmakers, they leave themselves highly exposed should the use of force end poorly. Introducing a new measure of congressional sentiment toward the use of force, this book shows that while presidents frequently use force without formal approval from Congress, they are very often doing so pursuant to Congress’s informal support and urging. Moreover, it demonstrates that presidents have been unwilling to undertake the largest, most casualty-intensive interventions (full-scale war) absent the formal imprimatur of the legislature—a pattern that has held in the more than seventy-five years since Korea, and that the 2026 Iran war did not break. Lastly, it shows that allies and adversaries pay close attention to domestic constraints on the president, yielding implications for deterrence and alliance reassurance. While </w:t>
      </w:r>
      <w:proofErr w:type="gramStart"/>
      <w:r>
        <w:t>in reality substantially</w:t>
      </w:r>
      <w:proofErr w:type="gramEnd"/>
      <w:r>
        <w:t xml:space="preserve"> constrained politically by Congress, presidents intentionally project a veneer of imperialism </w:t>
      </w:r>
      <w:proofErr w:type="gramStart"/>
      <w:r>
        <w:t>in order to</w:t>
      </w:r>
      <w:proofErr w:type="gramEnd"/>
      <w:r>
        <w:t xml:space="preserve"> caution adversaries and hearten allies.</w:t>
      </w:r>
    </w:p>
    <w:p w14:paraId="79467D37" w14:textId="77777777" w:rsidR="006E2F88" w:rsidRDefault="00000000">
      <w:pPr>
        <w:spacing w:after="240" w:line="276" w:lineRule="auto"/>
        <w:jc w:val="both"/>
      </w:pPr>
      <w:r>
        <w:t xml:space="preserve">Presidents appear imperial, but this is a carefully cultivated facade. While presidents publicly proclaim broad powers, their actions tell a different story. Although presidents have the ability to justify acting unilaterally in virtually any use of force, the executive is constrained by exposure to </w:t>
      </w:r>
      <w:r>
        <w:rPr>
          <w:i/>
          <w:iCs/>
        </w:rPr>
        <w:t>Loss Responsibility Costs</w:t>
      </w:r>
      <w:r>
        <w:t>: political costs suffered for an intervention that ends poorly.</w:t>
      </w:r>
      <w:r>
        <w:rPr>
          <w:rStyle w:val="FootnoteReference"/>
        </w:rPr>
        <w:footnoteReference w:id="1"/>
      </w:r>
      <w:r>
        <w:t xml:space="preserve"> These costs rise with both the casualties a president expects to incur and the degree of congressional opposition he faces before the fact. American leaders will only risk full-scale war if they have the political cover provided by formal authorization, which simultaneously forces lawmakers to assume responsibility for the intervention. Presidents frequently launch smaller military actions </w:t>
      </w:r>
      <w:r>
        <w:lastRenderedPageBreak/>
        <w:t>unilaterally, in contrast, not because they are out of line with congressional preferences, but often because having the president act unilaterally is preferred by lawmakers. When acting alone, presidents are, indeed, acting at their own peril: vulnerability to Loss Responsibility Costs constrains them from straying far beyond what congressional sentiment supports. To the extent presidents may act in true defiance of congressional wishes, this will be restricted to limited engagements with low risk to American lives. Altogether, these dynamics imply that presidents are far more restrained by Congress than is usually supposed.</w:t>
      </w:r>
    </w:p>
    <w:p w14:paraId="203E8FCF" w14:textId="77777777" w:rsidR="006E2F88" w:rsidRDefault="00000000">
      <w:pPr>
        <w:spacing w:after="240" w:line="276" w:lineRule="auto"/>
        <w:jc w:val="both"/>
      </w:pPr>
      <w:r>
        <w:t>This constraint, furthermore, has significant implications internationally: third parties naturally judge the American executive as less likely to use military force if they perceive the president facing considerable domestic obstacles to such action. Absent a clear signal of congressional support, threats and commitments made by an executive seen as restrained by Congress are less credible than those made by an unconstrained leader. In this way, perceptions of a constrained president can directly undermine the deterrence of U.S. adversaries and the reassurance of U.S. allies and partners.</w:t>
      </w:r>
      <w:r>
        <w:rPr>
          <w:rStyle w:val="FootnoteReference"/>
        </w:rPr>
        <w:footnoteReference w:id="2"/>
      </w:r>
      <w:r>
        <w:t xml:space="preserve"> Because of this, presidents face strong incentives to feign imperialism—to create a veneer of an imperial presidency </w:t>
      </w:r>
      <w:proofErr w:type="gramStart"/>
      <w:r>
        <w:t>in order to</w:t>
      </w:r>
      <w:proofErr w:type="gramEnd"/>
      <w:r>
        <w:t xml:space="preserve"> deter challenges and comfort friends.</w:t>
      </w:r>
    </w:p>
    <w:p w14:paraId="1B1FB02C" w14:textId="1124CBEA" w:rsidR="006E2F88" w:rsidRDefault="00000000">
      <w:pPr>
        <w:spacing w:after="240" w:line="276" w:lineRule="auto"/>
        <w:jc w:val="both"/>
      </w:pPr>
      <w:r>
        <w:t xml:space="preserve">This book provides novel archival material and a unique </w:t>
      </w:r>
      <w:hyperlink r:id="rId7" w:history="1">
        <w:r w:rsidR="006E2F88" w:rsidRPr="0055346B">
          <w:rPr>
            <w:rStyle w:val="Hyperlink"/>
          </w:rPr>
          <w:t>dataset</w:t>
        </w:r>
      </w:hyperlink>
      <w:r>
        <w:t xml:space="preserve"> of congressional sentiment toward military force. With the help of ten research assistants, more than 30,000 foreign policy floor speeches from the </w:t>
      </w:r>
      <w:r>
        <w:rPr>
          <w:i/>
          <w:iCs/>
        </w:rPr>
        <w:t>Congressional Record</w:t>
      </w:r>
      <w:r>
        <w:t xml:space="preserve"> were hand-labeled, and large language models were then used to extend that labeling to every member of Congress, yielding a “Congressional Support Score” for each of roughly two hundred international crises from the end of the Second World War to the present—including, most recently, the 2026 Iran war.</w:t>
      </w:r>
      <w:r>
        <w:rPr>
          <w:rStyle w:val="FootnoteReference"/>
        </w:rPr>
        <w:footnoteReference w:id="3"/>
      </w:r>
      <w:r>
        <w:t xml:space="preserve"> The data reveal that congressional sentiment has a much greater impact on the use of force than previously recognized: both the decision to intervene and the scale of force used track closely with congressional support, even when the executive acts unilaterally. The work also draws on extensive archival material from U.S. presidential libraries, the </w:t>
      </w:r>
      <w:r>
        <w:rPr>
          <w:i/>
          <w:iCs/>
        </w:rPr>
        <w:t>Foreign Relations of the United States</w:t>
      </w:r>
      <w:r>
        <w:t xml:space="preserve">, the </w:t>
      </w:r>
      <w:r>
        <w:rPr>
          <w:i/>
          <w:iCs/>
        </w:rPr>
        <w:t>Digital National Security Archive</w:t>
      </w:r>
      <w:r>
        <w:t>, and foreign-language sources, including Chinese- and Vietnamese-language documents that illuminate communist perceptions of American credibility during the Vietnam War.</w:t>
      </w:r>
    </w:p>
    <w:p w14:paraId="29B655C3" w14:textId="77777777" w:rsidR="006E2F88" w:rsidRDefault="00000000">
      <w:pPr>
        <w:keepNext/>
        <w:spacing w:after="180" w:line="276" w:lineRule="auto"/>
        <w:jc w:val="both"/>
      </w:pPr>
      <w:r>
        <w:rPr>
          <w:b/>
          <w:bCs/>
        </w:rPr>
        <w:lastRenderedPageBreak/>
        <w:t>The Conventional Understanding: The Imperial Presidency</w:t>
      </w:r>
    </w:p>
    <w:p w14:paraId="5304E225" w14:textId="77777777" w:rsidR="006E2F88" w:rsidRDefault="00000000">
      <w:pPr>
        <w:spacing w:after="180" w:line="276" w:lineRule="auto"/>
        <w:jc w:val="both"/>
      </w:pPr>
      <w:r>
        <w:t>The decision to enter war is perhaps the most consequential a country can make, and yet it is widely believed to be among the least democratically controlled in the United States. While the Constitution clearly endows the legislative branch alone with the power to declare war, Congress has not formally declared war since the Second World War, and hundreds of uses of force have been undertaken absent any kind of vote of approval from lawmakers. The 1973 War Powers Resolution is widely regarded as a failure, and most scholars believe that the president has seized constitutional powers over war and peace from Congress. Moreover, while the status quo is widely bemoaned by lawmakers, academics, and everyday Americans, reform efforts over the last half century have all failed. Leading scholars of U.S. foreign policy continue to argue that congressional influence over use of force decisions has “atrophied” and “eroded,” and that the war powers are in “crisis.”</w:t>
      </w:r>
    </w:p>
    <w:p w14:paraId="7D648A24" w14:textId="77777777" w:rsidR="006E2F88" w:rsidRDefault="00000000">
      <w:pPr>
        <w:spacing w:after="180" w:line="276" w:lineRule="auto"/>
        <w:jc w:val="both"/>
      </w:pPr>
      <w:r>
        <w:t>The question has only grown more urgent as concern about executive overreach has intensified during the second Trump administration. Asked in June 2026 what the war with Iran had taught him about the limits of his power, President Trump replied that “there are no limits.”</w:t>
      </w:r>
      <w:r>
        <w:rPr>
          <w:rStyle w:val="FootnoteReference"/>
        </w:rPr>
        <w:footnoteReference w:id="4"/>
      </w:r>
      <w:r>
        <w:t xml:space="preserve"> Lawmakers across the spectrum, leading scholars, and much of the public now treat meaningful congressional control of the war power as nonexistent. The imperial presidency, while regrettable, is deemed a fact of life.</w:t>
      </w:r>
    </w:p>
    <w:p w14:paraId="15148C14" w14:textId="77777777" w:rsidR="006E2F88" w:rsidRDefault="00000000">
      <w:pPr>
        <w:keepNext/>
        <w:spacing w:after="180" w:line="276" w:lineRule="auto"/>
        <w:jc w:val="both"/>
      </w:pPr>
      <w:r>
        <w:rPr>
          <w:b/>
          <w:bCs/>
        </w:rPr>
        <w:t>War and Responsibility: Loss Responsibility Costs</w:t>
      </w:r>
    </w:p>
    <w:p w14:paraId="504E9EA0" w14:textId="77777777" w:rsidR="006E2F88" w:rsidRDefault="00000000">
      <w:pPr>
        <w:spacing w:after="240" w:line="276" w:lineRule="auto"/>
        <w:jc w:val="both"/>
      </w:pPr>
      <w:r>
        <w:t>This book argues that this conventional wisdom highly exaggerates the practical ability of the president to act in contravention of congressional wishes. While presidents often assert vast power in public, they privately worry greatly about their political vulnerability should a use of force go badly (Loss Responsibility Costs). The 2026 Iran war illustrates the dynamic precisely. In early 2026, President Trump claimed to be “without question, the most powerful man that the planet has ever known—by a long way,” with a power over war exceeding that of the Roman Caesars, Adolf Hitler, and Mao Zedong.</w:t>
      </w:r>
      <w:r>
        <w:rPr>
          <w:rStyle w:val="FootnoteReference"/>
        </w:rPr>
        <w:footnoteReference w:id="5"/>
      </w:r>
      <w:r>
        <w:t xml:space="preserve"> Only a few months later, the same man was forced to accept what commentators across the political spectrum described as one of the most spectacular strategic defeats in American history. As the </w:t>
      </w:r>
      <w:r>
        <w:rPr>
          <w:i/>
          <w:iCs/>
        </w:rPr>
        <w:t>New York Times</w:t>
      </w:r>
      <w:r>
        <w:t>’ David Sanger put it, “A president who thought there were no limits to his power has discovered several.”</w:t>
      </w:r>
      <w:r>
        <w:rPr>
          <w:rStyle w:val="FootnoteReference"/>
        </w:rPr>
        <w:footnoteReference w:id="6"/>
      </w:r>
      <w:r>
        <w:t xml:space="preserve"> Notably, this was not for want of effective military options: defense experts repeatedly emphasized that the U.S. military “certainly” had the capability to achieve key objectives such as seizing Iran’s enriched uranium or forcing open the Strait of Hormuz.</w:t>
      </w:r>
      <w:r>
        <w:rPr>
          <w:rStyle w:val="FootnoteReference"/>
        </w:rPr>
        <w:footnoteReference w:id="7"/>
      </w:r>
      <w:r>
        <w:t xml:space="preserve"> The problem, instead, was fundamentally political—the shadow of the 2026 congressional elections and the imperative to avoid American casualties in a </w:t>
      </w:r>
      <w:r>
        <w:lastRenderedPageBreak/>
        <w:t>war that Congress had declined to authorize. Trump knew it, lawmakers knew it, the Iranians knew it, and the outcome of the conflict revealed it.</w:t>
      </w:r>
    </w:p>
    <w:p w14:paraId="73284547" w14:textId="77777777" w:rsidR="006E2F88" w:rsidRDefault="00000000">
      <w:pPr>
        <w:spacing w:after="180" w:line="276" w:lineRule="auto"/>
        <w:jc w:val="both"/>
      </w:pPr>
      <w:r>
        <w:t>This political exposure faced after a less-than-successful military action creates strong incentives for the executive to take congressional opinion into account when making the initial intervention decision. Even when acting unilaterally, presidents tailor military interventions to Congress’s general wishes. Furthermore, presidents are unwilling to enter the largest uses of force (i.e., full-scale wars) absent formal approval from the legislature. To the extent presidents are willing to truly defy the wishes of Congress, such actions will be restricted to limited strikes posing little risk to American lives—for instance, drone strikes or other limited airstrikes.</w:t>
      </w:r>
    </w:p>
    <w:p w14:paraId="6AF696DF" w14:textId="77777777" w:rsidR="006E2F88" w:rsidRDefault="00000000">
      <w:pPr>
        <w:spacing w:after="180" w:line="276" w:lineRule="auto"/>
        <w:jc w:val="both"/>
      </w:pPr>
      <w:r>
        <w:t xml:space="preserve">For example, while Lyndon Johnson publicly proclaimed he did not need formal authorization to wage the Vietnam War, privately he admitted he would “not pee a drop” without a congressional force resolution because he knew lawmakers would otherwise “run when the going gets tough,” and he therefore needed them “tied, bound, and delivered beforehand.” Likewise, George H.W. Bush opined that lawmakers would “paint their asses white and run with the antelopes” at the first sign of </w:t>
      </w:r>
      <w:proofErr w:type="gramStart"/>
      <w:r>
        <w:t>trouble, and</w:t>
      </w:r>
      <w:proofErr w:type="gramEnd"/>
      <w:r>
        <w:t xml:space="preserve"> hence wanted “these bastards voting with me so that if the thing goes south, they’re with me.”</w:t>
      </w:r>
    </w:p>
    <w:p w14:paraId="1106E060" w14:textId="77777777" w:rsidR="006E2F88" w:rsidRDefault="00000000">
      <w:pPr>
        <w:spacing w:after="180" w:line="276" w:lineRule="auto"/>
        <w:jc w:val="both"/>
      </w:pPr>
      <w:r>
        <w:t xml:space="preserve">This domestic constraint, in turn, then has implications for coercion and American grand strategy more broadly. Because third parties can view the domestic political hurdles faced by presidents, the assessments of adversaries and allies </w:t>
      </w:r>
      <w:proofErr w:type="gramStart"/>
      <w:r>
        <w:t>with regard to</w:t>
      </w:r>
      <w:proofErr w:type="gramEnd"/>
      <w:r>
        <w:t xml:space="preserve"> American intentions and credibility are based to a substantial extent on the sentiment they see emanating from Congress, and the perceived willingness of the president to act alone. As Secretary of State Shultz once put it, third parties’ beliefs in an unconstrained president were “a major asset—giving friends a sense of security and adversaries a sense of caution.” Presidents, hence, seek to publicly portray an image of an imperial presidency while </w:t>
      </w:r>
      <w:proofErr w:type="gramStart"/>
      <w:r>
        <w:t>in reality privately</w:t>
      </w:r>
      <w:proofErr w:type="gramEnd"/>
      <w:r>
        <w:t xml:space="preserve"> fretting greatly over the idea of undertaking major combat alone.</w:t>
      </w:r>
    </w:p>
    <w:p w14:paraId="4FDA83FD" w14:textId="77777777" w:rsidR="006E2F88" w:rsidRDefault="00000000">
      <w:pPr>
        <w:spacing w:after="180" w:line="276" w:lineRule="auto"/>
        <w:jc w:val="both"/>
      </w:pPr>
      <w:r>
        <w:t xml:space="preserve">Consider, for example, George H.W. Bush in the lead-up to the Gulf War. The president publicly proclaimed that he did not need to “get permission from some old goat in Congress to kick Saddam Hussein out of Kuwait.” Bush sought to reassure American coalition partners that the U.S. would not back </w:t>
      </w:r>
      <w:proofErr w:type="gramStart"/>
      <w:r>
        <w:t>down, and</w:t>
      </w:r>
      <w:proofErr w:type="gramEnd"/>
      <w:r>
        <w:t xml:space="preserve"> keep the threat of American intervention real in the eyes of Iraq. When publicly asked whether he could act unilaterally, Bush confidently answered, “Saddam Hussein should be under no question on this: I feel that I have the authority.” Privately, however, a far different story took place as the president spent over four months attempting to figure out a way to secure congressional authorization and fretting deeply over the possibility of having to act unilaterally—frequently mentioning the possibility of impeachment in his diary, for example. Bush’s White House Counsel would later classify the president’s public statements as “window dressing”; it was a facade. He sought and secured formal authorization from Congress before initiating Operation Desert Storm.</w:t>
      </w:r>
    </w:p>
    <w:p w14:paraId="0D0654D5" w14:textId="77777777" w:rsidR="006E2F88" w:rsidRDefault="00000000">
      <w:pPr>
        <w:keepNext/>
        <w:spacing w:after="180" w:line="276" w:lineRule="auto"/>
        <w:jc w:val="both"/>
      </w:pPr>
      <w:r>
        <w:rPr>
          <w:b/>
          <w:bCs/>
        </w:rPr>
        <w:lastRenderedPageBreak/>
        <w:t>Organization of the Book</w:t>
      </w:r>
    </w:p>
    <w:p w14:paraId="46F133A3" w14:textId="2921E199" w:rsidR="006E2F88" w:rsidRDefault="00000000">
      <w:pPr>
        <w:spacing w:after="180" w:line="276" w:lineRule="auto"/>
        <w:jc w:val="both"/>
      </w:pPr>
      <w:r>
        <w:t xml:space="preserve">The book addresses three primary questions: (1) how much influence does Congress have over use of military force decisions, (2) how does it exert this influence, and (3) how does this influence affect coercion dynamics between the United States and its adversaries? As shown below, it is organized in the standard political science book format of introduction; theory; empirical evidence; conclusion and implications. </w:t>
      </w:r>
    </w:p>
    <w:p w14:paraId="2E56E043" w14:textId="77777777" w:rsidR="006E2F88" w:rsidRDefault="00000000">
      <w:pPr>
        <w:keepNext/>
        <w:spacing w:after="180" w:line="276" w:lineRule="auto"/>
        <w:jc w:val="both"/>
      </w:pPr>
      <w:r>
        <w:rPr>
          <w:b/>
          <w:bCs/>
          <w:u w:val="single"/>
        </w:rPr>
        <w:t>Chapter Summaries:</w:t>
      </w:r>
    </w:p>
    <w:p w14:paraId="55E64155" w14:textId="77777777" w:rsidR="006E2F88" w:rsidRDefault="00000000">
      <w:pPr>
        <w:keepNext/>
        <w:spacing w:before="120" w:after="180" w:line="276" w:lineRule="auto"/>
        <w:ind w:left="720"/>
        <w:jc w:val="both"/>
      </w:pPr>
      <w:r>
        <w:rPr>
          <w:b/>
          <w:bCs/>
          <w:u w:val="single"/>
        </w:rPr>
        <w:t>PART I: War Powers Reconsidered</w:t>
      </w:r>
    </w:p>
    <w:p w14:paraId="7D652F4B" w14:textId="77777777" w:rsidR="006E2F88" w:rsidRDefault="00000000">
      <w:pPr>
        <w:keepNext/>
        <w:spacing w:after="180" w:line="276" w:lineRule="auto"/>
        <w:ind w:firstLine="720"/>
        <w:jc w:val="both"/>
      </w:pPr>
      <w:r>
        <w:rPr>
          <w:b/>
          <w:bCs/>
        </w:rPr>
        <w:t>Introduction</w:t>
      </w:r>
    </w:p>
    <w:p w14:paraId="2DD45326" w14:textId="77777777" w:rsidR="006E2F88" w:rsidRDefault="00000000">
      <w:pPr>
        <w:spacing w:after="180" w:line="276" w:lineRule="auto"/>
        <w:jc w:val="both"/>
      </w:pPr>
      <w:r>
        <w:t xml:space="preserve">The introduction opens with the 2026 Iran war—the most recent, and most vivid, demonstration of the book’s central puzzle: a president who publicly proclaimed unlimited power over </w:t>
      </w:r>
      <w:proofErr w:type="gramStart"/>
      <w:r>
        <w:t>war, and</w:t>
      </w:r>
      <w:proofErr w:type="gramEnd"/>
      <w:r>
        <w:t xml:space="preserve"> yet declined every major escalatory option available to him. It then surveys historical understandings of the war powers relationship from the Vietnam War until today, highlighting the major works on the topic, and showing why they come up short. It points out several strange anomalies that are very difficult for the traditional imperial presidency paradigm to explain, such as the absence of any full-scale war undertaken unilaterally in the more than seventy-five years since Korea, or incidents in which presidents seemingly avoided using force precisely because of a lack of authorization from Congress. It then quickly previews the theoretical argument and empirical evidence. It highlights the book’s broader contribution to the literature of not only providing a theory for war powers behavior but of highlighting “Loss Responsibility Costs” as an important concept in military crises across regime types more broadly. Lastly, it explains why there is a widespread belief in an imperial presidency despite the lack of evidence in favor of it: presidents have strong incentives to exaggerate their willingness to act unilaterally </w:t>
      </w:r>
      <w:proofErr w:type="gramStart"/>
      <w:r>
        <w:t>in order to</w:t>
      </w:r>
      <w:proofErr w:type="gramEnd"/>
      <w:r>
        <w:t xml:space="preserve"> aid in deterrence and alliance reassurance.</w:t>
      </w:r>
    </w:p>
    <w:p w14:paraId="458698DE" w14:textId="77777777" w:rsidR="006E2F88" w:rsidRDefault="00000000">
      <w:pPr>
        <w:keepNext/>
        <w:spacing w:after="180" w:line="276" w:lineRule="auto"/>
        <w:ind w:firstLine="720"/>
        <w:jc w:val="both"/>
      </w:pPr>
      <w:r>
        <w:rPr>
          <w:b/>
          <w:bCs/>
        </w:rPr>
        <w:t>Chapter 1: Theory of War Powers Politics</w:t>
      </w:r>
    </w:p>
    <w:p w14:paraId="57A3621A" w14:textId="77777777" w:rsidR="006E2F88" w:rsidRDefault="00000000">
      <w:pPr>
        <w:spacing w:after="180" w:line="276" w:lineRule="auto"/>
        <w:jc w:val="both"/>
      </w:pPr>
      <w:r>
        <w:t xml:space="preserve">The chapter first introduces “Loss Responsibility Costs,” explains why they are distinct from traditional “Audience Costs,” and demonstrates that they have long been widely recognized by decision-makers. These costs increase with both projected casualties and pre-conflict congressional opposition. The threat of Loss Responsibility Costs incentivizes presidents to only undertake full-scale war with legal authorization from Congress, and to closely consider congressional sentiment when acting without it. Indeed, while perhaps counterintuitive, presidents are </w:t>
      </w:r>
      <w:r>
        <w:rPr>
          <w:i/>
          <w:iCs/>
        </w:rPr>
        <w:t>more</w:t>
      </w:r>
      <w:r>
        <w:t xml:space="preserve"> constrained by congressional sentiment when acting unilaterally precisely because when acting alone they are especially vulnerable to LRC. Altogether, this implies significant congressional constraint on the president’s use of force decision. The chapter also presents a survey experiment establishing the micro-foundation of the argument: loss responsibility costs shift </w:t>
      </w:r>
      <w:r>
        <w:lastRenderedPageBreak/>
        <w:t>substantially from the president to Congress when lawmakers supported an intervention at the outset—and especially when they formally authorized it.</w:t>
      </w:r>
    </w:p>
    <w:p w14:paraId="31F7570A" w14:textId="77777777" w:rsidR="006E2F88" w:rsidRDefault="00000000">
      <w:pPr>
        <w:spacing w:after="180" w:line="276" w:lineRule="auto"/>
        <w:jc w:val="both"/>
      </w:pPr>
      <w:r>
        <w:t xml:space="preserve">As a follow-on effect, this substantial constraint then has direct implications for U.S. credibility internationally. The more third parties perceive the American leader to be constrained by Congress, the less credible they will view threats and commitments by the president due to the perceived inability of the executive to </w:t>
      </w:r>
      <w:proofErr w:type="gramStart"/>
      <w:r>
        <w:t>actually make</w:t>
      </w:r>
      <w:proofErr w:type="gramEnd"/>
      <w:r>
        <w:t xml:space="preserve"> good on them. This then gives the president strong incentives to actively shape international perceptions of the presidency as imperial. Hence, even when privately fretting an inability to act absent support in Congress, presidents will be careful in public to feign a willingness to act alone.</w:t>
      </w:r>
    </w:p>
    <w:p w14:paraId="78D2DB11" w14:textId="77777777" w:rsidR="006E2F88" w:rsidRDefault="00000000">
      <w:pPr>
        <w:keepNext/>
        <w:spacing w:before="120" w:after="180" w:line="276" w:lineRule="auto"/>
        <w:ind w:left="720"/>
        <w:jc w:val="both"/>
      </w:pPr>
      <w:r>
        <w:rPr>
          <w:b/>
          <w:bCs/>
          <w:u w:val="single"/>
        </w:rPr>
        <w:t>PART II: Domestic War Powers Politics</w:t>
      </w:r>
    </w:p>
    <w:p w14:paraId="4C2B2378" w14:textId="77777777" w:rsidR="006E2F88" w:rsidRDefault="00000000">
      <w:pPr>
        <w:keepNext/>
        <w:spacing w:after="180" w:line="276" w:lineRule="auto"/>
        <w:ind w:firstLine="720"/>
        <w:jc w:val="both"/>
      </w:pPr>
      <w:r>
        <w:rPr>
          <w:b/>
          <w:bCs/>
        </w:rPr>
        <w:t>Chapter 2: Looking for the Imperial Presidency—Measuring Congressional Support for the Use of Military Force</w:t>
      </w:r>
    </w:p>
    <w:p w14:paraId="2DFC9C05" w14:textId="77777777" w:rsidR="006E2F88" w:rsidRDefault="00000000">
      <w:pPr>
        <w:spacing w:after="180" w:line="276" w:lineRule="auto"/>
        <w:jc w:val="both"/>
      </w:pPr>
      <w:r>
        <w:t xml:space="preserve">This chapter explains how congressional support for, or opposition to, the use of military force can be measured. Because (as explained in the previous chapter) Congress has strong incentives to avoid voting on use of military force decisions, data from congressional speeches are used instead. It explains how “Congressional Support Scores” for the use of military force were created: with a team of ten research assistants, more than 30,000 foreign policy floor speeches from the </w:t>
      </w:r>
      <w:r>
        <w:rPr>
          <w:i/>
          <w:iCs/>
        </w:rPr>
        <w:t>Congressional Record</w:t>
      </w:r>
      <w:r>
        <w:t xml:space="preserve"> were hand-labeled, and large language models were then used to extend that labeling to all members of Congress across nearly two hundred international crises since 1945. It then presents the results from these novel measurements. The distribution of the data suggests that support in Congress is a strong constraint on the scale of intervention: both the decision to intervene and the scale of force used track closely with congressional support, even when the executive acts unilaterally. The data also show that while scholars of the war powers often cite the Korean War as a watershed precedent that then led to an explosion of unilateral uses of force, there is actually very little evidence of this: all full-scale wars after Korea saw presidents secure formal authorization from Congress before initiating major hostilities. The 2026 Iran war, as the conclusion discusses, fits squarely within this pattern rather than breaking it.</w:t>
      </w:r>
    </w:p>
    <w:p w14:paraId="4EFA3518" w14:textId="77777777" w:rsidR="006E2F88" w:rsidRDefault="00000000">
      <w:pPr>
        <w:keepNext/>
        <w:spacing w:after="180" w:line="276" w:lineRule="auto"/>
        <w:ind w:firstLine="720"/>
        <w:jc w:val="both"/>
      </w:pPr>
      <w:r>
        <w:rPr>
          <w:b/>
          <w:bCs/>
        </w:rPr>
        <w:t>Chapter 3: The Korean War Powers Antiprecedent</w:t>
      </w:r>
    </w:p>
    <w:p w14:paraId="6FD3CC48" w14:textId="77777777" w:rsidR="006E2F88" w:rsidRDefault="00000000">
      <w:pPr>
        <w:spacing w:after="180" w:line="276" w:lineRule="auto"/>
        <w:jc w:val="both"/>
      </w:pPr>
      <w:r>
        <w:t>Scholars of the American war powers frequently cite the Korean War—Truman called it a mere “police action” and never went to Congress for a war declaration or force resolution—as a watershed case that ushered in an era of enormous growth in presidential war power. Ever since, the Korean conflict has served as a strong legal precedent for broad assertions of presidential power in the war initiation context. Frequently overlooked, however, is the political antiprecedent</w:t>
      </w:r>
      <w:r>
        <w:rPr>
          <w:rStyle w:val="FootnoteReference"/>
        </w:rPr>
        <w:footnoteReference w:id="8"/>
      </w:r>
      <w:r>
        <w:t xml:space="preserve"> the Korean case has figured in presidential decision-making since June 1950. Indeed, Truman’s successors took a specific lesson away from the Korean War: by failing to have members of </w:t>
      </w:r>
      <w:r>
        <w:lastRenderedPageBreak/>
        <w:t xml:space="preserve">Congress publicly commit to armed intervention via a formal vote </w:t>
      </w:r>
      <w:r>
        <w:rPr>
          <w:i/>
          <w:iCs/>
        </w:rPr>
        <w:t>ex ante</w:t>
      </w:r>
      <w:r>
        <w:t xml:space="preserve">, presidents left themselves especially vulnerable </w:t>
      </w:r>
      <w:r>
        <w:rPr>
          <w:i/>
          <w:iCs/>
        </w:rPr>
        <w:t>ex post</w:t>
      </w:r>
      <w:r>
        <w:t xml:space="preserve"> to political costs of a less-than-successful military action. This chapter demonstrates that after the Korean War there are no clear cases of presidents willing to risk full-scale war absent express congressional approval. It considers all cases in which a president either entered full-scale war, or appeared willing to do so (but the adversary backed down):</w:t>
      </w:r>
    </w:p>
    <w:p w14:paraId="2B50DBF2" w14:textId="77777777" w:rsidR="006E2F88" w:rsidRDefault="00000000">
      <w:pPr>
        <w:pStyle w:val="ListParagraph"/>
        <w:numPr>
          <w:ilvl w:val="0"/>
          <w:numId w:val="2"/>
        </w:numPr>
        <w:spacing w:after="60" w:line="276" w:lineRule="auto"/>
        <w:jc w:val="both"/>
      </w:pPr>
      <w:r>
        <w:t>Korea (1950-53)</w:t>
      </w:r>
    </w:p>
    <w:p w14:paraId="58129B12" w14:textId="77777777" w:rsidR="006E2F88" w:rsidRDefault="00000000">
      <w:pPr>
        <w:pStyle w:val="ListParagraph"/>
        <w:numPr>
          <w:ilvl w:val="0"/>
          <w:numId w:val="2"/>
        </w:numPr>
        <w:spacing w:after="60" w:line="276" w:lineRule="auto"/>
        <w:jc w:val="both"/>
      </w:pPr>
      <w:r>
        <w:t>1st and 2nd Taiwan Strait Crises (1954-55, 58)</w:t>
      </w:r>
    </w:p>
    <w:p w14:paraId="5CD3D84E" w14:textId="77777777" w:rsidR="006E2F88" w:rsidRDefault="00000000">
      <w:pPr>
        <w:pStyle w:val="ListParagraph"/>
        <w:numPr>
          <w:ilvl w:val="0"/>
          <w:numId w:val="2"/>
        </w:numPr>
        <w:spacing w:after="60" w:line="276" w:lineRule="auto"/>
        <w:jc w:val="both"/>
      </w:pPr>
      <w:r>
        <w:t>Middle East Crises (1956-58)</w:t>
      </w:r>
    </w:p>
    <w:p w14:paraId="461E0F36" w14:textId="77777777" w:rsidR="006E2F88" w:rsidRDefault="00000000">
      <w:pPr>
        <w:pStyle w:val="ListParagraph"/>
        <w:numPr>
          <w:ilvl w:val="0"/>
          <w:numId w:val="2"/>
        </w:numPr>
        <w:spacing w:after="60" w:line="276" w:lineRule="auto"/>
        <w:jc w:val="both"/>
      </w:pPr>
      <w:r>
        <w:t>Berlin (1958-59 &amp; 1961-62)</w:t>
      </w:r>
    </w:p>
    <w:p w14:paraId="0A3A7385" w14:textId="77777777" w:rsidR="006E2F88" w:rsidRDefault="00000000">
      <w:pPr>
        <w:pStyle w:val="ListParagraph"/>
        <w:numPr>
          <w:ilvl w:val="0"/>
          <w:numId w:val="2"/>
        </w:numPr>
        <w:spacing w:after="60" w:line="276" w:lineRule="auto"/>
        <w:jc w:val="both"/>
      </w:pPr>
      <w:r>
        <w:t>Cuba (1962)</w:t>
      </w:r>
    </w:p>
    <w:p w14:paraId="7F6E742D" w14:textId="77777777" w:rsidR="006E2F88" w:rsidRDefault="00000000">
      <w:pPr>
        <w:pStyle w:val="ListParagraph"/>
        <w:numPr>
          <w:ilvl w:val="0"/>
          <w:numId w:val="2"/>
        </w:numPr>
        <w:spacing w:after="60" w:line="276" w:lineRule="auto"/>
        <w:jc w:val="both"/>
      </w:pPr>
      <w:r>
        <w:t>Vietnam (1964-1973)</w:t>
      </w:r>
    </w:p>
    <w:p w14:paraId="4B6BF1C3" w14:textId="77777777" w:rsidR="006E2F88" w:rsidRDefault="00000000">
      <w:pPr>
        <w:pStyle w:val="ListParagraph"/>
        <w:numPr>
          <w:ilvl w:val="0"/>
          <w:numId w:val="2"/>
        </w:numPr>
        <w:spacing w:after="60" w:line="276" w:lineRule="auto"/>
        <w:jc w:val="both"/>
      </w:pPr>
      <w:r>
        <w:t>Yom Kippur War (1973)</w:t>
      </w:r>
    </w:p>
    <w:p w14:paraId="072692A5" w14:textId="77777777" w:rsidR="006E2F88" w:rsidRDefault="00000000">
      <w:pPr>
        <w:pStyle w:val="ListParagraph"/>
        <w:numPr>
          <w:ilvl w:val="0"/>
          <w:numId w:val="2"/>
        </w:numPr>
        <w:spacing w:after="60" w:line="276" w:lineRule="auto"/>
        <w:jc w:val="both"/>
      </w:pPr>
      <w:r>
        <w:t>Carter Doctrine (1980)</w:t>
      </w:r>
    </w:p>
    <w:p w14:paraId="6DD47E62" w14:textId="77777777" w:rsidR="006E2F88" w:rsidRDefault="00000000">
      <w:pPr>
        <w:pStyle w:val="ListParagraph"/>
        <w:numPr>
          <w:ilvl w:val="0"/>
          <w:numId w:val="2"/>
        </w:numPr>
        <w:spacing w:after="60" w:line="276" w:lineRule="auto"/>
        <w:jc w:val="both"/>
      </w:pPr>
      <w:r>
        <w:t>Lebanon (1983)</w:t>
      </w:r>
    </w:p>
    <w:p w14:paraId="0C016985" w14:textId="77777777" w:rsidR="006E2F88" w:rsidRDefault="00000000">
      <w:pPr>
        <w:pStyle w:val="ListParagraph"/>
        <w:numPr>
          <w:ilvl w:val="0"/>
          <w:numId w:val="2"/>
        </w:numPr>
        <w:spacing w:after="60" w:line="276" w:lineRule="auto"/>
        <w:jc w:val="both"/>
      </w:pPr>
      <w:r>
        <w:t>Gulf War (1990-91)</w:t>
      </w:r>
    </w:p>
    <w:p w14:paraId="2D39C6CB" w14:textId="77777777" w:rsidR="006E2F88" w:rsidRDefault="00000000">
      <w:pPr>
        <w:pStyle w:val="ListParagraph"/>
        <w:numPr>
          <w:ilvl w:val="0"/>
          <w:numId w:val="2"/>
        </w:numPr>
        <w:spacing w:after="60" w:line="276" w:lineRule="auto"/>
        <w:jc w:val="both"/>
      </w:pPr>
      <w:r>
        <w:t>3rd Taiwan Strait Crisis (1995-96)</w:t>
      </w:r>
    </w:p>
    <w:p w14:paraId="1C8C2B6C" w14:textId="77777777" w:rsidR="006E2F88" w:rsidRDefault="00000000">
      <w:pPr>
        <w:pStyle w:val="ListParagraph"/>
        <w:numPr>
          <w:ilvl w:val="0"/>
          <w:numId w:val="2"/>
        </w:numPr>
        <w:spacing w:after="60" w:line="276" w:lineRule="auto"/>
        <w:jc w:val="both"/>
      </w:pPr>
      <w:r>
        <w:t>Afghanistan (2001-2021)</w:t>
      </w:r>
    </w:p>
    <w:p w14:paraId="486A8143" w14:textId="77777777" w:rsidR="006E2F88" w:rsidRDefault="00000000">
      <w:pPr>
        <w:pStyle w:val="ListParagraph"/>
        <w:numPr>
          <w:ilvl w:val="0"/>
          <w:numId w:val="2"/>
        </w:numPr>
        <w:spacing w:after="60" w:line="276" w:lineRule="auto"/>
        <w:jc w:val="both"/>
      </w:pPr>
      <w:r>
        <w:t>Iraq (2003-2011)</w:t>
      </w:r>
    </w:p>
    <w:p w14:paraId="38EDB591" w14:textId="77777777" w:rsidR="006E2F88" w:rsidRDefault="00000000">
      <w:pPr>
        <w:pStyle w:val="ListParagraph"/>
        <w:numPr>
          <w:ilvl w:val="0"/>
          <w:numId w:val="2"/>
        </w:numPr>
        <w:spacing w:after="180" w:line="276" w:lineRule="auto"/>
        <w:jc w:val="both"/>
      </w:pPr>
      <w:r>
        <w:t>North Korea (2017-18)</w:t>
      </w:r>
    </w:p>
    <w:p w14:paraId="125B476E" w14:textId="77777777" w:rsidR="006E2F88" w:rsidRDefault="00000000">
      <w:pPr>
        <w:spacing w:after="180" w:line="276" w:lineRule="auto"/>
        <w:jc w:val="both"/>
      </w:pPr>
      <w:r>
        <w:t>It shows that in each of the cases after Korea, presidents were consistently only willing to enter full-scale war pursuant to formal authorization from Congress—even in the highest-stakes Cold War confrontations over Berlin, Cuba, and Taiwan. In these cases, presidents often explicitly pointed to Truman’s unilateral action in the Korean War as an example to be avoided.</w:t>
      </w:r>
    </w:p>
    <w:p w14:paraId="52D012F0" w14:textId="77777777" w:rsidR="006E2F88" w:rsidRDefault="00000000">
      <w:pPr>
        <w:keepNext/>
        <w:spacing w:after="180" w:line="276" w:lineRule="auto"/>
        <w:ind w:firstLine="720"/>
        <w:jc w:val="both"/>
      </w:pPr>
      <w:r>
        <w:rPr>
          <w:b/>
          <w:bCs/>
        </w:rPr>
        <w:t>Chapter 4: The Dogs That Didn’t Bite</w:t>
      </w:r>
    </w:p>
    <w:p w14:paraId="13736213" w14:textId="77777777" w:rsidR="006E2F88" w:rsidRDefault="00000000">
      <w:pPr>
        <w:spacing w:after="180" w:line="276" w:lineRule="auto"/>
        <w:jc w:val="both"/>
      </w:pPr>
      <w:r>
        <w:t xml:space="preserve">The last chapter suggested that there was little evidence of presidents willing to </w:t>
      </w:r>
      <w:proofErr w:type="gramStart"/>
      <w:r>
        <w:t>actually engage</w:t>
      </w:r>
      <w:proofErr w:type="gramEnd"/>
      <w:r>
        <w:t xml:space="preserve"> in full-scale war absent formal congressional authorization after the Korean War. The focus of this chapter, instead, is on negative cases: those in which force was avoided because of a lack of formal congressional approval. Seven cases—each taking place in a different presidential administration, and with a focus on hawkish presidents less likely to respect constitutional boundaries—demonstrate the widespread avoidance of conflict due to a lack of formal authorization. The cases are:</w:t>
      </w:r>
    </w:p>
    <w:p w14:paraId="4C86210F" w14:textId="77777777" w:rsidR="006E2F88" w:rsidRDefault="00000000">
      <w:pPr>
        <w:pStyle w:val="ListParagraph"/>
        <w:numPr>
          <w:ilvl w:val="0"/>
          <w:numId w:val="2"/>
        </w:numPr>
        <w:spacing w:after="60" w:line="276" w:lineRule="auto"/>
        <w:jc w:val="both"/>
      </w:pPr>
      <w:r>
        <w:t>Indochina (1954)</w:t>
      </w:r>
    </w:p>
    <w:p w14:paraId="50AF1217" w14:textId="77777777" w:rsidR="006E2F88" w:rsidRDefault="00000000">
      <w:pPr>
        <w:pStyle w:val="ListParagraph"/>
        <w:numPr>
          <w:ilvl w:val="0"/>
          <w:numId w:val="2"/>
        </w:numPr>
        <w:spacing w:after="60" w:line="276" w:lineRule="auto"/>
        <w:jc w:val="both"/>
      </w:pPr>
      <w:proofErr w:type="gramStart"/>
      <w:r>
        <w:t>Six Day</w:t>
      </w:r>
      <w:proofErr w:type="gramEnd"/>
      <w:r>
        <w:t xml:space="preserve"> War (1967)</w:t>
      </w:r>
    </w:p>
    <w:p w14:paraId="6755EDCB" w14:textId="77777777" w:rsidR="006E2F88" w:rsidRDefault="00000000">
      <w:pPr>
        <w:pStyle w:val="ListParagraph"/>
        <w:numPr>
          <w:ilvl w:val="0"/>
          <w:numId w:val="2"/>
        </w:numPr>
        <w:spacing w:after="60" w:line="276" w:lineRule="auto"/>
        <w:jc w:val="both"/>
      </w:pPr>
      <w:r>
        <w:t>Enforcing the Paris Peace Accords (1973)</w:t>
      </w:r>
    </w:p>
    <w:p w14:paraId="66908519" w14:textId="77777777" w:rsidR="006E2F88" w:rsidRDefault="00000000">
      <w:pPr>
        <w:pStyle w:val="ListParagraph"/>
        <w:numPr>
          <w:ilvl w:val="0"/>
          <w:numId w:val="2"/>
        </w:numPr>
        <w:spacing w:after="60" w:line="276" w:lineRule="auto"/>
        <w:jc w:val="both"/>
      </w:pPr>
      <w:r>
        <w:lastRenderedPageBreak/>
        <w:t>Fall of Saigon (1975)</w:t>
      </w:r>
    </w:p>
    <w:p w14:paraId="514EEFB1" w14:textId="77777777" w:rsidR="006E2F88" w:rsidRDefault="00000000">
      <w:pPr>
        <w:pStyle w:val="ListParagraph"/>
        <w:numPr>
          <w:ilvl w:val="0"/>
          <w:numId w:val="2"/>
        </w:numPr>
        <w:spacing w:after="60" w:line="276" w:lineRule="auto"/>
        <w:jc w:val="both"/>
      </w:pPr>
      <w:r>
        <w:t>Caribbean Basin (1980s)</w:t>
      </w:r>
    </w:p>
    <w:p w14:paraId="5C4E2A72" w14:textId="77777777" w:rsidR="006E2F88" w:rsidRDefault="00000000">
      <w:pPr>
        <w:pStyle w:val="ListParagraph"/>
        <w:numPr>
          <w:ilvl w:val="0"/>
          <w:numId w:val="2"/>
        </w:numPr>
        <w:spacing w:after="60" w:line="276" w:lineRule="auto"/>
        <w:jc w:val="both"/>
      </w:pPr>
      <w:r>
        <w:t>Iran (2007)</w:t>
      </w:r>
    </w:p>
    <w:p w14:paraId="3DBF4CC1" w14:textId="77777777" w:rsidR="006E2F88" w:rsidRDefault="00000000">
      <w:pPr>
        <w:pStyle w:val="ListParagraph"/>
        <w:numPr>
          <w:ilvl w:val="0"/>
          <w:numId w:val="2"/>
        </w:numPr>
        <w:spacing w:after="180" w:line="276" w:lineRule="auto"/>
        <w:jc w:val="both"/>
      </w:pPr>
      <w:r>
        <w:t>Syria (2013)</w:t>
      </w:r>
    </w:p>
    <w:p w14:paraId="6EF04CD2" w14:textId="77777777" w:rsidR="006E2F88" w:rsidRDefault="00000000">
      <w:pPr>
        <w:spacing w:after="180" w:line="276" w:lineRule="auto"/>
        <w:jc w:val="both"/>
      </w:pPr>
      <w:r>
        <w:t>Altogether, the evidence provided in Chapters 2–4 strongly suggests that formal authorization from Congress has been viewed as politically necessary for undertaking full-scale war since the Korean War: Congress has remained a gatekeeper for the largest uses of force throughout the postwar period. These findings directly contradict the broadest assertion of the imperial presidency (i.e., that presidents are willing to enter full-scale war absent formal approval from Congress).</w:t>
      </w:r>
    </w:p>
    <w:p w14:paraId="13C003C9" w14:textId="77777777" w:rsidR="006E2F88" w:rsidRDefault="00000000">
      <w:pPr>
        <w:keepNext/>
        <w:spacing w:before="120" w:after="180" w:line="276" w:lineRule="auto"/>
        <w:ind w:left="720"/>
        <w:jc w:val="both"/>
      </w:pPr>
      <w:r>
        <w:rPr>
          <w:b/>
          <w:bCs/>
          <w:u w:val="single"/>
        </w:rPr>
        <w:t>PART III: A Watching World: The International Effect of War Powers Politics</w:t>
      </w:r>
    </w:p>
    <w:p w14:paraId="485DF449" w14:textId="77777777" w:rsidR="006E2F88" w:rsidRDefault="00000000">
      <w:pPr>
        <w:spacing w:after="180" w:line="276" w:lineRule="auto"/>
        <w:jc w:val="both"/>
      </w:pPr>
      <w:r>
        <w:t xml:space="preserve">While Part II focuses directly on the domestic constraint faced by the president, this next section focuses on the international effect of this constraint. First, it demonstrates that third parties (allies and adversaries) are aware of, and pay close attention to, domestic constraints on the president. Then, it shows that presidents are aware they are being </w:t>
      </w:r>
      <w:proofErr w:type="gramStart"/>
      <w:r>
        <w:t>watched, and</w:t>
      </w:r>
      <w:proofErr w:type="gramEnd"/>
      <w:r>
        <w:t xml:space="preserve"> thus attempt to craft a veneer of an imperial presidency. They seek to project an image of a strong presidency with little care for Congress.</w:t>
      </w:r>
    </w:p>
    <w:p w14:paraId="57716C2F" w14:textId="77777777" w:rsidR="006E2F88" w:rsidRDefault="00000000">
      <w:pPr>
        <w:keepNext/>
        <w:spacing w:after="180" w:line="276" w:lineRule="auto"/>
        <w:ind w:firstLine="720"/>
        <w:jc w:val="both"/>
      </w:pPr>
      <w:r>
        <w:rPr>
          <w:b/>
          <w:bCs/>
        </w:rPr>
        <w:t>Chapter 5: International Effects: Evidence across Cases</w:t>
      </w:r>
    </w:p>
    <w:p w14:paraId="355034D8" w14:textId="77777777" w:rsidR="006E2F88" w:rsidRDefault="00000000">
      <w:pPr>
        <w:spacing w:after="180" w:line="276" w:lineRule="auto"/>
        <w:jc w:val="both"/>
      </w:pPr>
      <w:r>
        <w:t xml:space="preserve">First, a series of examples of adversaries watching the U.S. Congress (and war powers debates) will be given: Nazi leadership in 1940-41; Beijing during the First Taiwan Strait Crisis (1954-55); Moscow during the Cuban Missile Crisis (1962); Baghdad prior to the Gulf War (1990-91). These cases demonstrate that U.S. adversaries across time and space have been aware of war powers politics in the United </w:t>
      </w:r>
      <w:proofErr w:type="gramStart"/>
      <w:r>
        <w:t>States, and</w:t>
      </w:r>
      <w:proofErr w:type="gramEnd"/>
      <w:r>
        <w:t xml:space="preserve"> make judgments of U.S. credibility substantially based on their readings of Congress and how constrained they perceive the president to be. Where adversaries observe strong support for the use of force in the legislature, they assess the threat as more credible; where they observe a lack of support, they downplay the likelihood of American intervention and push harder.</w:t>
      </w:r>
    </w:p>
    <w:p w14:paraId="61082047" w14:textId="77777777" w:rsidR="006E2F88" w:rsidRDefault="00000000">
      <w:pPr>
        <w:spacing w:after="180" w:line="276" w:lineRule="auto"/>
        <w:jc w:val="both"/>
      </w:pPr>
      <w:r>
        <w:t xml:space="preserve">Second, statistical models showing that congressional sentiment strongly predicts the outcomes of crises are presented. This dataset consists of roughly two hundred crises since 1945, utilizing the congressional sentiment data from Chapter 2. Higher congressional backing for force is associated with more favorable outcomes in both armed conflicts and crises settled short of war, and formal congressional authorization enhances U.S. bargaining credibility even when controlling for informal support. Because the argument concerns cause and effect, the chapter takes the problem of confounding seriously. The principal threat is reverse causation: that lawmakers simply support wars they expect the United States to win, and that adversaries respond to the expected outcome rather than to congressional signals as such. The chapter addresses this by exploiting the timing of congressional expression (focusing on speech acts made prior to the president’s use of force </w:t>
      </w:r>
      <w:r>
        <w:lastRenderedPageBreak/>
        <w:t>decision), by controlling for the military stakes and balance of forces, the administration in office, and the broader strategic era, and by triangulating the statistical results against the archival record, so that no single method bears the full weight of the causal claim. This, again, suggests the deals adversaries are willing to entertain are a function of the support they view in Congress for the use of force. Crises occur in the shadow of Congress.</w:t>
      </w:r>
    </w:p>
    <w:p w14:paraId="0FCB2D85" w14:textId="77777777" w:rsidR="006E2F88" w:rsidRDefault="00000000">
      <w:pPr>
        <w:keepNext/>
        <w:spacing w:after="180" w:line="276" w:lineRule="auto"/>
        <w:ind w:firstLine="720"/>
        <w:jc w:val="both"/>
      </w:pPr>
      <w:r>
        <w:rPr>
          <w:b/>
          <w:bCs/>
        </w:rPr>
        <w:t>Chapter 6: The War in Vietnam</w:t>
      </w:r>
    </w:p>
    <w:p w14:paraId="009E061C" w14:textId="77777777" w:rsidR="006E2F88" w:rsidRDefault="00000000">
      <w:pPr>
        <w:spacing w:after="180" w:line="276" w:lineRule="auto"/>
        <w:jc w:val="both"/>
      </w:pPr>
      <w:r>
        <w:t>The final empirical chapter delves into a single canonical case, the Vietnam War, which is closely linked with war powers in American history. Chosen as a “least likely” case to test the theory, the period from the Cold War’s onset to the War Powers Resolution in 1973 represents the zenith of the imperial presidency. During this time, presidents had both a vast standing military and Truman’s Korean War “police action” as a precedent for using force in Southeast Asia.</w:t>
      </w:r>
    </w:p>
    <w:p w14:paraId="495D1BE4" w14:textId="77777777" w:rsidR="006E2F88" w:rsidRDefault="00000000">
      <w:pPr>
        <w:spacing w:after="180" w:line="276" w:lineRule="auto"/>
        <w:jc w:val="both"/>
      </w:pPr>
      <w:r>
        <w:t>This chapter uses archival research, including primary sources in Chinese and Vietnamese, to evaluate (i) congressional influence on presidential decisions, (ii) international perceptions of American credibility influenced by Congress, and (iii) White House concerns about these perceptions. Analyzing crises from Dien Bien Phu in 1954 to the Fall of Saigon in 1975, the findings support the theory and challenge the imperial presidency thesis. It demonstrates that every president from Eisenhower to Ford viewed formal congressional authorization as essential for starting a major war and that both American adversaries and allies closely monitored Congress’s constraints on the president. Using declassified documents and diplomatic communications, it shows that North Vietnamese leaders tracked congressional sentiment closely, and that declining legislative support—culminating in explicit statutory prohibitions on the use of force—eroded deterrence and hastened the Fall of Saigon. In turn, this put great pressure on the American executive to try to appear imperial, while privately showing little appetite for contradicting Congress.</w:t>
      </w:r>
    </w:p>
    <w:p w14:paraId="1403CAC1" w14:textId="77777777" w:rsidR="006E2F88" w:rsidRDefault="00000000">
      <w:pPr>
        <w:spacing w:after="180" w:line="276" w:lineRule="auto"/>
        <w:jc w:val="both"/>
      </w:pPr>
      <w:r>
        <w:t>The chapter also discusses the legislative developments leading to the 1973 War Powers Resolution, highlighting the political awareness of the dynamics outlined in Chapter 1.</w:t>
      </w:r>
    </w:p>
    <w:p w14:paraId="708613A5" w14:textId="77777777" w:rsidR="006E2F88" w:rsidRDefault="00000000">
      <w:pPr>
        <w:keepNext/>
        <w:spacing w:before="120" w:after="180" w:line="276" w:lineRule="auto"/>
        <w:ind w:left="720"/>
        <w:jc w:val="both"/>
      </w:pPr>
      <w:r>
        <w:rPr>
          <w:b/>
          <w:bCs/>
          <w:u w:val="single"/>
        </w:rPr>
        <w:t>PART IV: Implications and Conclusion</w:t>
      </w:r>
    </w:p>
    <w:p w14:paraId="62AC905C" w14:textId="77777777" w:rsidR="006E2F88" w:rsidRDefault="00000000">
      <w:pPr>
        <w:keepNext/>
        <w:spacing w:after="180" w:line="276" w:lineRule="auto"/>
        <w:ind w:firstLine="720"/>
        <w:jc w:val="both"/>
      </w:pPr>
      <w:r>
        <w:rPr>
          <w:b/>
          <w:bCs/>
        </w:rPr>
        <w:t>Conclusion: The 2026 Iran War, War Powers Reform, and the Veneer of the Imperial Presidency</w:t>
      </w:r>
    </w:p>
    <w:p w14:paraId="112AF729" w14:textId="77777777" w:rsidR="006E2F88" w:rsidRDefault="00000000">
      <w:pPr>
        <w:spacing w:after="180" w:line="276" w:lineRule="auto"/>
        <w:jc w:val="both"/>
      </w:pPr>
      <w:r>
        <w:t xml:space="preserve">The conclusion returns to the 2026 Iran war, which tracks the logic of the theory closely. Republicans overwhelmingly supported the intervention at the outset and controlled both chambers of </w:t>
      </w:r>
      <w:proofErr w:type="gramStart"/>
      <w:r>
        <w:t>Congress, yet</w:t>
      </w:r>
      <w:proofErr w:type="gramEnd"/>
      <w:r>
        <w:t xml:space="preserve"> declined to formally authorize it—preserving their own deniability at the cost of leaving the president to absorb the political exposure alone. When early expectations of a quick victory gave way to a protracted conflict, that exposure came due: unwilling to risk the American casualties that seizing Iran’s enriched uranium or forcing open the Strait of Hormuz would have entailed, the administration proved unable to secure the objectives it had set at the beginning. </w:t>
      </w:r>
      <w:r>
        <w:lastRenderedPageBreak/>
        <w:t xml:space="preserve">Measured by American combat fatalities, the Iran war sits squarely within the band of prior unilateral operations such as Panama (1989), Somalia (1992–94), and Kosovo (1999)—not the band of the authorized full-scale wars in Korea, Vietnam, the Gulf, Afghanistan, and Iraq. The episode illustrates the book’s central claim: the appearance of unilateral strength and the reality of political constraint are not in tension—the first is produced </w:t>
      </w:r>
      <w:proofErr w:type="gramStart"/>
      <w:r>
        <w:t>in order to</w:t>
      </w:r>
      <w:proofErr w:type="gramEnd"/>
      <w:r>
        <w:t xml:space="preserve"> disguise the second.</w:t>
      </w:r>
    </w:p>
    <w:p w14:paraId="38589C4A" w14:textId="77777777" w:rsidR="006E2F88" w:rsidRDefault="00000000">
      <w:pPr>
        <w:spacing w:after="180" w:line="276" w:lineRule="auto"/>
        <w:jc w:val="both"/>
      </w:pPr>
      <w:r>
        <w:t xml:space="preserve">The chapter then draws out three key takeaways from the book. First, despite widespread belief in an imperial presidency, presidents are </w:t>
      </w:r>
      <w:proofErr w:type="gramStart"/>
      <w:r>
        <w:t>actually quite</w:t>
      </w:r>
      <w:proofErr w:type="gramEnd"/>
      <w:r>
        <w:t xml:space="preserve"> constrained by Congress in the use of military force context due to their exposure to Loss Responsibility Costs. This constraint is manifest in two ways: i) presidents are </w:t>
      </w:r>
      <w:r>
        <w:rPr>
          <w:i/>
          <w:iCs/>
        </w:rPr>
        <w:t>de facto</w:t>
      </w:r>
      <w:r>
        <w:t xml:space="preserve"> unwilling to undertake full-scale war absent formal authorization from Congress, and ii) even when acting unilaterally for smaller uses of force, presidents are still constrained by informal congressional sentiment. Again, to the extent presidents are willing to truly defy the wishes of Congress and utilize the military, such actions will be restricted to highly limited uses of force with low risk to American lives (quick airstrikes, etc.).</w:t>
      </w:r>
    </w:p>
    <w:p w14:paraId="3A7085CB" w14:textId="77777777" w:rsidR="006E2F88" w:rsidRDefault="00000000">
      <w:pPr>
        <w:spacing w:after="180" w:line="276" w:lineRule="auto"/>
        <w:jc w:val="both"/>
      </w:pPr>
      <w:r>
        <w:t>Second, this domestic constraint on the president affects third party perceptions of American credibility. Adversaries will be less deterred (and allies less reassured) by a president seen as highly constrained by Congress. Conversely, an executive seen as unconstrained will be seen as more likely to fulfill threats and commitments.</w:t>
      </w:r>
    </w:p>
    <w:p w14:paraId="09C99E75" w14:textId="77777777" w:rsidR="006E2F88" w:rsidRDefault="00000000">
      <w:pPr>
        <w:spacing w:after="180" w:line="276" w:lineRule="auto"/>
        <w:jc w:val="both"/>
      </w:pPr>
      <w:r>
        <w:t>Lastly, presidential recognition of this “watching world” of allies and adversaries gives the White House strong incentives to cultivate an image of an imperial presidency, even if not true. Presidents create this veneer to project the impression that the United States will automatically respond to provocations, deterring adversaries and reassuring allies.</w:t>
      </w:r>
    </w:p>
    <w:p w14:paraId="16D09C96" w14:textId="77777777" w:rsidR="006E2F88" w:rsidRDefault="00000000">
      <w:pPr>
        <w:spacing w:after="180" w:line="276" w:lineRule="auto"/>
        <w:jc w:val="both"/>
      </w:pPr>
      <w:r>
        <w:t>It concludes by considering policy implications for war powers reform and American grand strategy more broadly. The findings invert the reform debate. Because presidents are already substantially constrained by Congress, sweeping war powers reform is less necessary than widely believed—and, the book argues, likely both unattainable and unwise. It is unattainable because the very blame-avoidance that drives the system makes lawmakers unwilling to enact a statute forcing themselves to vote—the best explanation for fifty years of failed proposals since 1973. And it is unwise because formal authorization frees presidents to use more force, not less: mandating a congressional vote for every operation would tend to produce larger and longer wars (Vietnam and Iraq were both authorized and escalated, while the unauthorized Somalia mission ended once support collapsed), even as hard legal limits eroded the image of an unconstrained presidency that aids deterrence and reassurance, pushing anxious allies toward self-help—including, potentially, the acquisition of nuclear weapons. Because the binding constraint is political rather than legal, the lever for a more restrained foreign policy is substance, not procedure: persuading Congress and the public of a different grand strategy, rather than rewriting the rules. Congress is, by and large, already getting what it wants in foreign policy; the problem lies in getting majorities of lawmakers to want something else.</w:t>
      </w:r>
    </w:p>
    <w:p w14:paraId="5C13F52A" w14:textId="77777777" w:rsidR="006E2F88" w:rsidRDefault="00000000">
      <w:pPr>
        <w:keepNext/>
        <w:spacing w:after="180" w:line="276" w:lineRule="auto"/>
        <w:jc w:val="both"/>
      </w:pPr>
      <w:r>
        <w:rPr>
          <w:b/>
          <w:bCs/>
          <w:u w:val="single"/>
        </w:rPr>
        <w:lastRenderedPageBreak/>
        <w:t>Biography:</w:t>
      </w:r>
    </w:p>
    <w:p w14:paraId="04B141D3" w14:textId="77777777" w:rsidR="006E2F88" w:rsidRDefault="00000000">
      <w:pPr>
        <w:spacing w:after="180" w:line="276" w:lineRule="auto"/>
        <w:jc w:val="both"/>
      </w:pPr>
      <w:r>
        <w:t>In addition to my Ph.D. in Political Science from UC San Diego (2023), I have had policy experience in Washington. I am a lawyer (J.D. from the UCLA School of Law, Order of the Coif; member of the California bar</w:t>
      </w:r>
      <w:proofErr w:type="gramStart"/>
      <w:r>
        <w:t>), and</w:t>
      </w:r>
      <w:proofErr w:type="gramEnd"/>
      <w:r>
        <w:t xml:space="preserve"> worked as a legal intern with congressional staffers on the House Committee on Foreign Affairs during the ISIS war powers debates of the mid-2010s—observing firsthand the politics at the center of this book. Thus, my scholarship combines political science (American political institutions and international security) with law. My research and teaching interests include congressional-executive relations in U.S. foreign policy, constitutional law, deterrence theory, and the U.S.-China relationship. I have served as the instructor of record for classes on the Presidency, the U.S. Congress, the Cold War, Just War Theory, Presidential War Powers, and the Causes of War.</w:t>
      </w:r>
    </w:p>
    <w:p w14:paraId="1F36EEE8" w14:textId="77777777" w:rsidR="006E2F88" w:rsidRDefault="00000000">
      <w:pPr>
        <w:spacing w:after="180" w:line="276" w:lineRule="auto"/>
        <w:jc w:val="both"/>
      </w:pPr>
      <w:r>
        <w:t xml:space="preserve">This book is based on my dissertation. A formal-theory version of the argument, “War and Responsibility,” has been published in the </w:t>
      </w:r>
      <w:r>
        <w:rPr>
          <w:i/>
          <w:iCs/>
        </w:rPr>
        <w:t>American Political Science Review</w:t>
      </w:r>
      <w:r>
        <w:t xml:space="preserve"> (2026), and a related paper analyzing the relationship between alliance reassurance and presidential war powers, “Alliance Reassurance and the Image of the Imperial Presidency” (coauthored with Matt Waxman, professor at Columbia Law), has been published in </w:t>
      </w:r>
      <w:r>
        <w:rPr>
          <w:i/>
          <w:iCs/>
        </w:rPr>
        <w:t>Security Studies</w:t>
      </w:r>
      <w:r>
        <w:t xml:space="preserve"> (2026).</w:t>
      </w:r>
      <w:r>
        <w:rPr>
          <w:rStyle w:val="FootnoteReference"/>
        </w:rPr>
        <w:footnoteReference w:id="9"/>
      </w:r>
      <w:r>
        <w:t xml:space="preserve"> A third, solo-authored article from the project, “The Essence of Congressional Influence: Power without Participation in the Cuban Missile Crisis,” is under revise-and-resubmit at </w:t>
      </w:r>
      <w:r>
        <w:rPr>
          <w:i/>
          <w:iCs/>
        </w:rPr>
        <w:t>International Security</w:t>
      </w:r>
      <w:r>
        <w:t xml:space="preserve">, and a fourth, “The War Powers and the Search for Credibility: Untying Hands vs. Demonstrating Strength,” is under review at </w:t>
      </w:r>
      <w:r>
        <w:rPr>
          <w:i/>
          <w:iCs/>
        </w:rPr>
        <w:t>International Organization</w:t>
      </w:r>
      <w:r>
        <w:t xml:space="preserve">. I have written a series of short articles for </w:t>
      </w:r>
      <w:r>
        <w:rPr>
          <w:i/>
          <w:iCs/>
        </w:rPr>
        <w:t>Lawfare</w:t>
      </w:r>
      <w:r>
        <w:t xml:space="preserve"> based on this work, one of which was used by the </w:t>
      </w:r>
      <w:r>
        <w:rPr>
          <w:i/>
          <w:iCs/>
        </w:rPr>
        <w:t>Washington Post</w:t>
      </w:r>
      <w:r>
        <w:t xml:space="preserve"> to explain the war powers views of President Biden; another is on the syllabus of the Naval War College’s flagship National Security Decision-Making course. Most recently, with co-authors, I have applied the book’s congressional support measure in near-real time to the 2026 strikes on Iran and on the Maduro government in </w:t>
      </w:r>
      <w:r>
        <w:rPr>
          <w:i/>
          <w:iCs/>
        </w:rPr>
        <w:t>Lawfare</w:t>
      </w:r>
      <w:r>
        <w:t>.</w:t>
      </w:r>
    </w:p>
    <w:p w14:paraId="1977F70D" w14:textId="038376EB" w:rsidR="006E2F88" w:rsidRDefault="00000000">
      <w:pPr>
        <w:spacing w:after="180" w:line="276" w:lineRule="auto"/>
        <w:jc w:val="both"/>
      </w:pPr>
      <w:r>
        <w:t xml:space="preserve">I am currently an assistant professor at the University of Florida. Before joining </w:t>
      </w:r>
      <w:r w:rsidR="00A93785">
        <w:t>UF</w:t>
      </w:r>
      <w:r>
        <w:t xml:space="preserve">, I was a Stanton Nuclear Security Fellow at Stanford’s Center for International Security and Cooperation (2024–25) and a research fellow with the International Security Program at the Harvard Kennedy School’s Belfer Center (2023–24). For the summer of 2022, I was a Summer Associate with the RAND Center for Analysis of U.S. Grand Strategy, and for the 2020–2021 academic year I was a Hans J. Morgenthau Fellow at the Notre Dame International Security Center. Beyond the work discussed above, my work has been published by </w:t>
      </w:r>
      <w:r>
        <w:rPr>
          <w:i/>
          <w:iCs/>
        </w:rPr>
        <w:t>International Studies Quarterly</w:t>
      </w:r>
      <w:r>
        <w:t xml:space="preserve">, </w:t>
      </w:r>
      <w:r>
        <w:rPr>
          <w:i/>
          <w:iCs/>
        </w:rPr>
        <w:t>Journal of Conflict Resolution</w:t>
      </w:r>
      <w:r>
        <w:t xml:space="preserve">, </w:t>
      </w:r>
      <w:r>
        <w:rPr>
          <w:i/>
          <w:iCs/>
        </w:rPr>
        <w:t>The National Interest</w:t>
      </w:r>
      <w:r>
        <w:t xml:space="preserve">, </w:t>
      </w:r>
      <w:r>
        <w:rPr>
          <w:i/>
          <w:iCs/>
        </w:rPr>
        <w:t>The Diplomat</w:t>
      </w:r>
      <w:r>
        <w:t>, and other outlets.</w:t>
      </w:r>
    </w:p>
    <w:p w14:paraId="2A4D6D1D" w14:textId="77777777" w:rsidR="006E2F88" w:rsidRDefault="00000000">
      <w:pPr>
        <w:keepNext/>
        <w:spacing w:after="180" w:line="276" w:lineRule="auto"/>
        <w:jc w:val="both"/>
      </w:pPr>
      <w:r>
        <w:rPr>
          <w:b/>
          <w:bCs/>
          <w:u w:val="single"/>
        </w:rPr>
        <w:lastRenderedPageBreak/>
        <w:t>Length and Status:</w:t>
      </w:r>
    </w:p>
    <w:p w14:paraId="775FBEA2" w14:textId="77777777" w:rsidR="006E2F88" w:rsidRDefault="00000000">
      <w:pPr>
        <w:spacing w:after="180" w:line="276" w:lineRule="auto"/>
        <w:jc w:val="both"/>
      </w:pPr>
      <w:r>
        <w:t>I expect the book to be around 110,000 words. While my dissertation was 100,000 words, the book manuscript has some substantial differences (described below). In short, while much of the technical material has been removed, expanded case studies and archival evidence have been included.</w:t>
      </w:r>
    </w:p>
    <w:p w14:paraId="2F214989" w14:textId="77777777" w:rsidR="006E2F88" w:rsidRDefault="00000000">
      <w:pPr>
        <w:spacing w:after="180" w:line="276" w:lineRule="auto"/>
        <w:jc w:val="both"/>
      </w:pPr>
      <w:r>
        <w:t xml:space="preserve">Since defending the dissertation in May 2023, I have worked on substantially revising the manuscript to make it more suitable for publication. While the thesis was written as a book-style dissertation, much of the theory chapter focused on developing game theoretic models. These have been removed from the book manuscript (and submitted as a standalone publication, published at </w:t>
      </w:r>
      <w:r>
        <w:rPr>
          <w:i/>
          <w:iCs/>
        </w:rPr>
        <w:t>APSR</w:t>
      </w:r>
      <w:r>
        <w:t xml:space="preserve">). The book focuses mostly on the qualitative archival work from the dissertation. This comprised roughly 240 pages in the original </w:t>
      </w:r>
      <w:proofErr w:type="gramStart"/>
      <w:r>
        <w:t>manuscript, but</w:t>
      </w:r>
      <w:proofErr w:type="gramEnd"/>
      <w:r>
        <w:t xml:space="preserve"> has been revised and expanded significantly after defending the dissertation. Revisions since the dissertation was submitted have focused on adding additional cases (for example, the Carter Doctrine in 1980) and providing more archival material for existing cases (for example, the Cuban Missile Crisis and the 1961 Berlin Crisis—material which was located while working at the Kennedy Library during my year at Harvard). Material on the Vietnam War has also been substantially expanded (including new material collected from the JFK, LBJ, and Nixon Libraries). Most recently, a new concluding chapter examines the 2026 Iran war, and the congressional sentiment data have been extended through that conflict.</w:t>
      </w:r>
    </w:p>
    <w:p w14:paraId="2B0EC9D6" w14:textId="77777777" w:rsidR="006E2F88" w:rsidRDefault="00000000">
      <w:pPr>
        <w:spacing w:after="180" w:line="276" w:lineRule="auto"/>
        <w:jc w:val="both"/>
      </w:pPr>
      <w:r>
        <w:t xml:space="preserve">A complete draft of the manuscript is now in hand. I held a manuscript workshop on November 10, </w:t>
      </w:r>
      <w:proofErr w:type="gramStart"/>
      <w:r>
        <w:t>2025</w:t>
      </w:r>
      <w:proofErr w:type="gramEnd"/>
      <w:r>
        <w:t xml:space="preserve"> in Washington, D.C. attended by some of the leading experts on the war powers (lawyers) and on congressional influence in foreign policy (political scientists). The following scholars attended the conference and gave substantial feedback:</w:t>
      </w:r>
    </w:p>
    <w:p w14:paraId="7161F201" w14:textId="77777777" w:rsidR="006E2F88" w:rsidRDefault="00000000">
      <w:pPr>
        <w:pStyle w:val="ListParagraph"/>
        <w:numPr>
          <w:ilvl w:val="0"/>
          <w:numId w:val="2"/>
        </w:numPr>
        <w:spacing w:after="60" w:line="276" w:lineRule="auto"/>
        <w:jc w:val="both"/>
      </w:pPr>
      <w:r>
        <w:t>James Lindsay (Council on Foreign Relations)</w:t>
      </w:r>
    </w:p>
    <w:p w14:paraId="558DF358" w14:textId="77777777" w:rsidR="006E2F88" w:rsidRDefault="00000000">
      <w:pPr>
        <w:pStyle w:val="ListParagraph"/>
        <w:numPr>
          <w:ilvl w:val="0"/>
          <w:numId w:val="2"/>
        </w:numPr>
        <w:spacing w:after="60" w:line="276" w:lineRule="auto"/>
        <w:jc w:val="both"/>
      </w:pPr>
      <w:r>
        <w:t>James Goldgeier (Stanford CISAC &amp; American University SIS)</w:t>
      </w:r>
    </w:p>
    <w:p w14:paraId="41BD4EDC" w14:textId="77777777" w:rsidR="006E2F88" w:rsidRDefault="00000000">
      <w:pPr>
        <w:pStyle w:val="ListParagraph"/>
        <w:numPr>
          <w:ilvl w:val="0"/>
          <w:numId w:val="2"/>
        </w:numPr>
        <w:spacing w:after="60" w:line="276" w:lineRule="auto"/>
        <w:jc w:val="both"/>
      </w:pPr>
      <w:r>
        <w:t>Jordan Tama (American University SIS)</w:t>
      </w:r>
    </w:p>
    <w:p w14:paraId="16872A3D" w14:textId="77777777" w:rsidR="006E2F88" w:rsidRDefault="00000000">
      <w:pPr>
        <w:pStyle w:val="ListParagraph"/>
        <w:numPr>
          <w:ilvl w:val="0"/>
          <w:numId w:val="2"/>
        </w:numPr>
        <w:spacing w:after="60" w:line="276" w:lineRule="auto"/>
        <w:jc w:val="both"/>
      </w:pPr>
      <w:r>
        <w:t>Matt Waxman (Columbia Law)</w:t>
      </w:r>
    </w:p>
    <w:p w14:paraId="5A6C113E" w14:textId="77777777" w:rsidR="006E2F88" w:rsidRDefault="00000000">
      <w:pPr>
        <w:pStyle w:val="ListParagraph"/>
        <w:numPr>
          <w:ilvl w:val="0"/>
          <w:numId w:val="2"/>
        </w:numPr>
        <w:spacing w:after="60" w:line="276" w:lineRule="auto"/>
        <w:jc w:val="both"/>
      </w:pPr>
      <w:r>
        <w:t>Scott Anderson (Brookings/ Lawfare)</w:t>
      </w:r>
    </w:p>
    <w:p w14:paraId="7EDE625E" w14:textId="77777777" w:rsidR="006E2F88" w:rsidRDefault="00000000">
      <w:pPr>
        <w:pStyle w:val="ListParagraph"/>
        <w:numPr>
          <w:ilvl w:val="0"/>
          <w:numId w:val="2"/>
        </w:numPr>
        <w:spacing w:after="60" w:line="276" w:lineRule="auto"/>
        <w:jc w:val="both"/>
      </w:pPr>
      <w:r>
        <w:t>Rachel Myrick (Duke Political Science)</w:t>
      </w:r>
    </w:p>
    <w:p w14:paraId="3470B11A" w14:textId="77777777" w:rsidR="006E2F88" w:rsidRDefault="00000000">
      <w:pPr>
        <w:pStyle w:val="ListParagraph"/>
        <w:numPr>
          <w:ilvl w:val="0"/>
          <w:numId w:val="2"/>
        </w:numPr>
        <w:spacing w:after="60" w:line="276" w:lineRule="auto"/>
        <w:jc w:val="both"/>
      </w:pPr>
      <w:r>
        <w:t>Jeff Friedman (Dartmouth Political Science)</w:t>
      </w:r>
    </w:p>
    <w:p w14:paraId="6246FD26" w14:textId="77777777" w:rsidR="006E2F88" w:rsidRDefault="00000000">
      <w:pPr>
        <w:pStyle w:val="ListParagraph"/>
        <w:numPr>
          <w:ilvl w:val="0"/>
          <w:numId w:val="2"/>
        </w:numPr>
        <w:spacing w:after="180" w:line="276" w:lineRule="auto"/>
        <w:jc w:val="both"/>
      </w:pPr>
      <w:r>
        <w:t>Joseph Ledford (Hoover Institution)</w:t>
      </w:r>
    </w:p>
    <w:p w14:paraId="586A7850" w14:textId="1F186D5D" w:rsidR="006E2F88" w:rsidRDefault="00000000">
      <w:pPr>
        <w:spacing w:after="180" w:line="276" w:lineRule="auto"/>
        <w:jc w:val="both"/>
      </w:pPr>
      <w:r>
        <w:t>Their feedback has been incorporated into the current draft. Both Princeton University Press and Cornell University Press have since requested the full manuscript for review.</w:t>
      </w:r>
    </w:p>
    <w:p w14:paraId="07968948" w14:textId="7C87B624" w:rsidR="006E2F88" w:rsidRDefault="00000000">
      <w:pPr>
        <w:spacing w:after="180" w:line="276" w:lineRule="auto"/>
        <w:jc w:val="both"/>
      </w:pPr>
      <w:r>
        <w:t>Over the last couple of years, I have also discussed the project with Graham Allison (Harvard Kennedy School), Steve Walt (Harvard Kennedy School), James Fearon (Stanford), Ken Schultz (Stanford)</w:t>
      </w:r>
      <w:r w:rsidR="00720EB6">
        <w:t>, Elizabeth Saunders (Columbia), and other leading scholars of American foreign policy</w:t>
      </w:r>
      <w:r>
        <w:t xml:space="preserve">. </w:t>
      </w:r>
      <w:r>
        <w:lastRenderedPageBreak/>
        <w:t>I have presented the project at Harvard, Stanford, UC Berkeley, UT Austin, Rice, UC San Diego, George Mason University, and the University of Florida.</w:t>
      </w:r>
    </w:p>
    <w:p w14:paraId="351D3811" w14:textId="77777777" w:rsidR="006E2F88" w:rsidRDefault="00000000">
      <w:pPr>
        <w:keepNext/>
        <w:spacing w:after="180" w:line="276" w:lineRule="auto"/>
        <w:jc w:val="both"/>
      </w:pPr>
      <w:r>
        <w:rPr>
          <w:b/>
          <w:bCs/>
          <w:u w:val="single"/>
        </w:rPr>
        <w:t>Audience and Comparative Titles:</w:t>
      </w:r>
    </w:p>
    <w:p w14:paraId="3CFCC4C2" w14:textId="77777777" w:rsidR="006E2F88" w:rsidRDefault="00000000">
      <w:pPr>
        <w:spacing w:after="180" w:line="276" w:lineRule="auto"/>
        <w:jc w:val="both"/>
      </w:pPr>
      <w:r>
        <w:t>This book is intended to attract both academic and non-academic readers, and even amongst academics not only political scientists but jurists as well. This book will be of interest to scholars and readers interested in law, history, American government, and international relations. It will also appeal to a broader audience, including foreign policy professionals and those who follow law, history, and foreign affairs.</w:t>
      </w:r>
      <w:r>
        <w:rPr>
          <w:rStyle w:val="FootnoteReference"/>
        </w:rPr>
        <w:footnoteReference w:id="10"/>
      </w:r>
      <w:r>
        <w:t xml:space="preserve"> As discussed below, the war powers have long been of broad interest to those interested in American foreign policy. At the same time, there is particular focus on presidential power in recent years due to the perceived lack of self-restraint by President Trump,</w:t>
      </w:r>
      <w:r>
        <w:rPr>
          <w:rStyle w:val="FootnoteReference"/>
        </w:rPr>
        <w:footnoteReference w:id="11"/>
      </w:r>
      <w:r>
        <w:t xml:space="preserve"> a recent Supreme Court decision seeming to solidify broad presidential power, and—above all—the 2026 Iran war, which has returned the war powers to the center of national debate: the conflict was fought without formal authorization amid repeated war powers votes in Congress, and ended with the president visibly unable to escalate to secure his stated objectives. The book’s concluding chapter speaks directly to that debate.</w:t>
      </w:r>
    </w:p>
    <w:p w14:paraId="4815257C" w14:textId="77777777" w:rsidR="006E2F88" w:rsidRDefault="00000000">
      <w:pPr>
        <w:spacing w:after="180" w:line="276" w:lineRule="auto"/>
        <w:jc w:val="both"/>
      </w:pPr>
      <w:r>
        <w:t xml:space="preserve">Certainly, there are many books out there focused on the war powers of the president and Congress: it is a popular topic. The works, however, always </w:t>
      </w:r>
      <w:proofErr w:type="gramStart"/>
      <w:r>
        <w:t>come to the conclusion</w:t>
      </w:r>
      <w:proofErr w:type="gramEnd"/>
      <w:r>
        <w:t xml:space="preserve"> that while the president should be constrained by Congress, they </w:t>
      </w:r>
      <w:r>
        <w:rPr>
          <w:i/>
          <w:iCs/>
        </w:rPr>
        <w:t>de facto</w:t>
      </w:r>
      <w:r>
        <w:t xml:space="preserve"> are not. Most prominent is Arthur Schlesinger Jr.’s influential </w:t>
      </w:r>
      <w:r>
        <w:rPr>
          <w:i/>
          <w:iCs/>
        </w:rPr>
        <w:t>The Imperial Presidency</w:t>
      </w:r>
      <w:r>
        <w:t xml:space="preserve"> (Houghton Mifflin, 1973). Other seminal works include John Hart Ely’s </w:t>
      </w:r>
      <w:r>
        <w:rPr>
          <w:i/>
          <w:iCs/>
        </w:rPr>
        <w:t>War and Responsibility: Constitutional Lessons of Vietnam and Its Aftermath</w:t>
      </w:r>
      <w:r>
        <w:t xml:space="preserve"> (Princeton U. Press, 1993) and Louis Fisher’s </w:t>
      </w:r>
      <w:r>
        <w:rPr>
          <w:i/>
          <w:iCs/>
        </w:rPr>
        <w:t>Presidential War Powers</w:t>
      </w:r>
      <w:r>
        <w:t xml:space="preserve"> (U. Kansas Press, 3rd ed., 2013). More recent work in this genre includes Stephen M. Griffin’s </w:t>
      </w:r>
      <w:r>
        <w:rPr>
          <w:i/>
          <w:iCs/>
        </w:rPr>
        <w:t>Long Wars and the Constitution</w:t>
      </w:r>
      <w:r>
        <w:t xml:space="preserve"> (Harvard U. Press, 2013), David Barron’s </w:t>
      </w:r>
      <w:r>
        <w:rPr>
          <w:i/>
          <w:iCs/>
        </w:rPr>
        <w:t>Waging War: The Clash Between Presidents and Congress, 1776 to ISIS</w:t>
      </w:r>
      <w:r>
        <w:t xml:space="preserve"> (Simon &amp; Schuster, 2016), and Harold Koh’s </w:t>
      </w:r>
      <w:r>
        <w:rPr>
          <w:i/>
          <w:iCs/>
        </w:rPr>
        <w:t>The National Security Constitution in the Twenty-First Century</w:t>
      </w:r>
      <w:r>
        <w:t xml:space="preserve"> (Yale University Press, 2024). While there are thus many existing books focused on war powers, mine is different because the others complain the president is insufficiently constrained by Congress. Mine argues precisely the opposite: they are quite substantially constrained by Congress.</w:t>
      </w:r>
    </w:p>
    <w:p w14:paraId="6E4BEC2C" w14:textId="7D6374E4" w:rsidR="006E2F88" w:rsidRDefault="00000000">
      <w:pPr>
        <w:spacing w:after="180" w:line="276" w:lineRule="auto"/>
        <w:jc w:val="both"/>
      </w:pPr>
      <w:r>
        <w:t xml:space="preserve">Another similar work might be Elizabeth Saunders’ </w:t>
      </w:r>
      <w:proofErr w:type="gramStart"/>
      <w:r>
        <w:rPr>
          <w:i/>
          <w:iCs/>
        </w:rPr>
        <w:t>The</w:t>
      </w:r>
      <w:proofErr w:type="gramEnd"/>
      <w:r>
        <w:rPr>
          <w:i/>
          <w:iCs/>
        </w:rPr>
        <w:t xml:space="preserve"> Insiders’ Game</w:t>
      </w:r>
      <w:r>
        <w:t xml:space="preserve"> (Princeton U. Press, 2024), which argues elites—including lawmakers—influence presidential decision-making, but </w:t>
      </w:r>
      <w:r>
        <w:lastRenderedPageBreak/>
        <w:t>suggests if anything this yields a “hawkish bias” pushing presidents into war, or otherwise not constraining hawkish presidents. Thus, it makes a substantially different argument than my own.</w:t>
      </w:r>
      <w:r>
        <w:rPr>
          <w:rStyle w:val="FootnoteReference"/>
        </w:rPr>
        <w:footnoteReference w:id="12"/>
      </w:r>
    </w:p>
    <w:p w14:paraId="71B043ED" w14:textId="77777777" w:rsidR="006E2F88" w:rsidRDefault="00000000">
      <w:pPr>
        <w:spacing w:after="180" w:line="276" w:lineRule="auto"/>
        <w:jc w:val="both"/>
      </w:pPr>
      <w:r>
        <w:t xml:space="preserve">Some works in political science are more optimistic about the constraining effect Congress may play, but each of these is substantially different from the book proposed here. Closest to this manuscript is William Howell &amp; John Pevehouse’s </w:t>
      </w:r>
      <w:r>
        <w:rPr>
          <w:i/>
          <w:iCs/>
        </w:rPr>
        <w:t>While Dangers Gather</w:t>
      </w:r>
      <w:r>
        <w:t xml:space="preserve"> (Princeton U. Press, 2007),</w:t>
      </w:r>
      <w:r>
        <w:rPr>
          <w:rStyle w:val="FootnoteReference"/>
        </w:rPr>
        <w:footnoteReference w:id="13"/>
      </w:r>
      <w:r>
        <w:t xml:space="preserve"> which argues Congress can exert a constraining influence on the president’s use of military force decisions. While my book builds off Howell &amp; Pevehouse’s argument, there are substantial differences. First, Howell &amp; Pevehouse’s book does not consider </w:t>
      </w:r>
      <w:r>
        <w:rPr>
          <w:i/>
          <w:iCs/>
        </w:rPr>
        <w:t>formal</w:t>
      </w:r>
      <w:r>
        <w:t xml:space="preserve"> war powers behavior (they essentially assume formal authorization is irrelevant). My book argues it remains highly important for full-scale wars—and this is particularly important because virtually </w:t>
      </w:r>
      <w:proofErr w:type="gramStart"/>
      <w:r>
        <w:t>all of</w:t>
      </w:r>
      <w:proofErr w:type="gramEnd"/>
      <w:r>
        <w:t xml:space="preserve"> the popular and political debate over war powers focuses precisely on formal authorization from Congress. Indeed, this is </w:t>
      </w:r>
      <w:r>
        <w:rPr>
          <w:i/>
          <w:iCs/>
        </w:rPr>
        <w:t>the</w:t>
      </w:r>
      <w:r>
        <w:t xml:space="preserve"> question debated in Washington and the </w:t>
      </w:r>
      <w:proofErr w:type="gramStart"/>
      <w:r>
        <w:t>general public</w:t>
      </w:r>
      <w:proofErr w:type="gramEnd"/>
      <w:r>
        <w:t xml:space="preserve">: does the president need to receive formal authorization from Congress before using military force? Howell and Pevehouse’s book simply </w:t>
      </w:r>
      <w:proofErr w:type="gramStart"/>
      <w:r>
        <w:t>does</w:t>
      </w:r>
      <w:proofErr w:type="gramEnd"/>
      <w:r>
        <w:t xml:space="preserve"> not address this. Moreover, the novel “congressional support score” data (Ch. 2) presented here suggest a much more constrained president than anticipated by this prior work. Lastly, my book additionally focuses on the international implications of domestic constraint on the president, showing how allies and adversaries have viewed this, and how this then affects American credibility. This international dimension, and the president’s reaction to it, is not addressed in these prior works.</w:t>
      </w:r>
    </w:p>
    <w:sectPr w:rsidR="006E2F8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22DC57" w14:textId="77777777" w:rsidR="00B75274" w:rsidRDefault="00B75274">
      <w:r>
        <w:separator/>
      </w:r>
    </w:p>
  </w:endnote>
  <w:endnote w:type="continuationSeparator" w:id="0">
    <w:p w14:paraId="069A47BA" w14:textId="77777777" w:rsidR="00B75274" w:rsidRDefault="00B75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C12C26" w14:textId="77777777" w:rsidR="00B75274" w:rsidRDefault="00B75274">
      <w:r>
        <w:separator/>
      </w:r>
    </w:p>
  </w:footnote>
  <w:footnote w:type="continuationSeparator" w:id="0">
    <w:p w14:paraId="5476D3F5" w14:textId="77777777" w:rsidR="00B75274" w:rsidRDefault="00B75274">
      <w:r>
        <w:continuationSeparator/>
      </w:r>
    </w:p>
  </w:footnote>
  <w:footnote w:id="1">
    <w:p w14:paraId="145F2CEB" w14:textId="77777777" w:rsidR="006E2F88" w:rsidRDefault="00000000">
      <w:pPr>
        <w:jc w:val="both"/>
      </w:pPr>
      <w:r>
        <w:rPr>
          <w:rStyle w:val="FootnoteReference"/>
        </w:rPr>
        <w:footnoteRef/>
      </w:r>
      <w:r>
        <w:rPr>
          <w:sz w:val="20"/>
          <w:szCs w:val="20"/>
        </w:rPr>
        <w:t xml:space="preserve"> This builds on a related paper, “War and Responsibility,” published in the </w:t>
      </w:r>
      <w:r>
        <w:rPr>
          <w:i/>
          <w:iCs/>
          <w:sz w:val="20"/>
          <w:szCs w:val="20"/>
        </w:rPr>
        <w:t>American Political Science Review</w:t>
      </w:r>
      <w:r>
        <w:rPr>
          <w:sz w:val="20"/>
          <w:szCs w:val="20"/>
        </w:rPr>
        <w:t xml:space="preserve"> (2026) and based on my dissertation. As described below, Chapter 1 introduces the concept of Loss Responsibility Costs and highlights their theoretical implications.</w:t>
      </w:r>
    </w:p>
  </w:footnote>
  <w:footnote w:id="2">
    <w:p w14:paraId="224AFD54" w14:textId="77777777" w:rsidR="006E2F88" w:rsidRDefault="00000000">
      <w:pPr>
        <w:jc w:val="both"/>
      </w:pPr>
      <w:r>
        <w:rPr>
          <w:rStyle w:val="FootnoteReference"/>
        </w:rPr>
        <w:footnoteRef/>
      </w:r>
      <w:r>
        <w:rPr>
          <w:sz w:val="20"/>
          <w:szCs w:val="20"/>
        </w:rPr>
        <w:t xml:space="preserve"> This relates to an article published with Matthew Waxman (Columbia Law School) in </w:t>
      </w:r>
      <w:r>
        <w:rPr>
          <w:i/>
          <w:iCs/>
          <w:sz w:val="20"/>
          <w:szCs w:val="20"/>
        </w:rPr>
        <w:t>Security Studies</w:t>
      </w:r>
      <w:r>
        <w:rPr>
          <w:sz w:val="20"/>
          <w:szCs w:val="20"/>
        </w:rPr>
        <w:t xml:space="preserve"> (2026), “Alliance Reassurance and the Image of the Imperial Presidency.” Drawing on archival case studies of South Korea, the Philippines, and Thailand, it shows that allies closely consider how constrained presidents are by Congress, and whether they are willing to act unilaterally: allies want to be reassured that the president is willing and able to act alone in coming to their defense.</w:t>
      </w:r>
    </w:p>
  </w:footnote>
  <w:footnote w:id="3">
    <w:p w14:paraId="31E53DB5" w14:textId="77777777" w:rsidR="006E2F88" w:rsidRDefault="00000000">
      <w:pPr>
        <w:jc w:val="both"/>
      </w:pPr>
      <w:r>
        <w:rPr>
          <w:rStyle w:val="FootnoteReference"/>
        </w:rPr>
        <w:footnoteRef/>
      </w:r>
      <w:r>
        <w:rPr>
          <w:sz w:val="20"/>
          <w:szCs w:val="20"/>
        </w:rPr>
        <w:t xml:space="preserve"> The measure has also proved portable beyond the historical record. With co-authors, I have applied it in near-real time to the 2026 U.S. strikes on Iran and on the Maduro government in </w:t>
      </w:r>
      <w:r>
        <w:rPr>
          <w:i/>
          <w:iCs/>
          <w:sz w:val="20"/>
          <w:szCs w:val="20"/>
        </w:rPr>
        <w:t>Lawfare</w:t>
      </w:r>
      <w:r>
        <w:rPr>
          <w:sz w:val="20"/>
          <w:szCs w:val="20"/>
        </w:rPr>
        <w:t xml:space="preserve">, and, with new grant funding, I am extending it to a corpus of nearly one million statements spanning the full run of the </w:t>
      </w:r>
      <w:r>
        <w:rPr>
          <w:i/>
          <w:iCs/>
          <w:sz w:val="20"/>
          <w:szCs w:val="20"/>
        </w:rPr>
        <w:t>Congressional Record</w:t>
      </w:r>
      <w:r>
        <w:rPr>
          <w:sz w:val="20"/>
          <w:szCs w:val="20"/>
        </w:rPr>
        <w:t xml:space="preserve"> (1873–2026). Recent advances in large language models have made this labeling both cheaper and higher in quality than was possible even a few years ago.</w:t>
      </w:r>
    </w:p>
  </w:footnote>
  <w:footnote w:id="4">
    <w:p w14:paraId="427D1974" w14:textId="77777777" w:rsidR="006E2F88" w:rsidRDefault="00000000">
      <w:pPr>
        <w:jc w:val="both"/>
      </w:pPr>
      <w:r>
        <w:rPr>
          <w:rStyle w:val="FootnoteReference"/>
        </w:rPr>
        <w:footnoteRef/>
      </w:r>
      <w:r>
        <w:rPr>
          <w:sz w:val="20"/>
          <w:szCs w:val="20"/>
        </w:rPr>
        <w:t xml:space="preserve"> “Transcript of Trump’s Interview with ‘The Axios Show,’” </w:t>
      </w:r>
      <w:r>
        <w:rPr>
          <w:i/>
          <w:iCs/>
          <w:sz w:val="20"/>
          <w:szCs w:val="20"/>
        </w:rPr>
        <w:t>Axios</w:t>
      </w:r>
      <w:r>
        <w:rPr>
          <w:sz w:val="20"/>
          <w:szCs w:val="20"/>
        </w:rPr>
        <w:t>, June 19, 2026.</w:t>
      </w:r>
    </w:p>
  </w:footnote>
  <w:footnote w:id="5">
    <w:p w14:paraId="544642AB" w14:textId="77777777" w:rsidR="006E2F88" w:rsidRDefault="00000000">
      <w:pPr>
        <w:jc w:val="both"/>
      </w:pPr>
      <w:r>
        <w:rPr>
          <w:rStyle w:val="FootnoteReference"/>
        </w:rPr>
        <w:footnoteRef/>
      </w:r>
      <w:r>
        <w:rPr>
          <w:sz w:val="20"/>
          <w:szCs w:val="20"/>
        </w:rPr>
        <w:t xml:space="preserve"> Maggie Haberman and Jonathan Swan, </w:t>
      </w:r>
      <w:r>
        <w:rPr>
          <w:i/>
          <w:iCs/>
          <w:sz w:val="20"/>
          <w:szCs w:val="20"/>
        </w:rPr>
        <w:t>Regime Change</w:t>
      </w:r>
      <w:r>
        <w:rPr>
          <w:sz w:val="20"/>
          <w:szCs w:val="20"/>
        </w:rPr>
        <w:t xml:space="preserve"> (New York: Simon &amp; Schuster, 2026), 411.</w:t>
      </w:r>
    </w:p>
  </w:footnote>
  <w:footnote w:id="6">
    <w:p w14:paraId="2678778F" w14:textId="77777777" w:rsidR="006E2F88" w:rsidRDefault="00000000">
      <w:pPr>
        <w:jc w:val="both"/>
      </w:pPr>
      <w:r>
        <w:rPr>
          <w:rStyle w:val="FootnoteReference"/>
        </w:rPr>
        <w:footnoteRef/>
      </w:r>
      <w:r>
        <w:rPr>
          <w:sz w:val="20"/>
          <w:szCs w:val="20"/>
        </w:rPr>
        <w:t xml:space="preserve"> David E. Sanger, </w:t>
      </w:r>
      <w:r>
        <w:rPr>
          <w:i/>
          <w:iCs/>
          <w:sz w:val="20"/>
          <w:szCs w:val="20"/>
        </w:rPr>
        <w:t>The New York Times</w:t>
      </w:r>
      <w:r>
        <w:rPr>
          <w:sz w:val="20"/>
          <w:szCs w:val="20"/>
        </w:rPr>
        <w:t>, July 26, 2026.</w:t>
      </w:r>
    </w:p>
  </w:footnote>
  <w:footnote w:id="7">
    <w:p w14:paraId="768F6FD4" w14:textId="77777777" w:rsidR="006E2F88" w:rsidRDefault="00000000">
      <w:pPr>
        <w:jc w:val="both"/>
      </w:pPr>
      <w:r>
        <w:rPr>
          <w:rStyle w:val="FootnoteReference"/>
        </w:rPr>
        <w:footnoteRef/>
      </w:r>
      <w:r>
        <w:rPr>
          <w:sz w:val="20"/>
          <w:szCs w:val="20"/>
        </w:rPr>
        <w:t xml:space="preserve"> See, for example, Gen. Kenneth F. McKenzie Jr. (ret.), </w:t>
      </w:r>
      <w:r>
        <w:rPr>
          <w:i/>
          <w:iCs/>
          <w:sz w:val="20"/>
          <w:szCs w:val="20"/>
        </w:rPr>
        <w:t>Face the Nation</w:t>
      </w:r>
      <w:r>
        <w:rPr>
          <w:sz w:val="20"/>
          <w:szCs w:val="20"/>
        </w:rPr>
        <w:t>, CBS News, July 12, 2026.</w:t>
      </w:r>
    </w:p>
  </w:footnote>
  <w:footnote w:id="8">
    <w:p w14:paraId="77C211C5" w14:textId="77777777" w:rsidR="006E2F88" w:rsidRDefault="00000000">
      <w:pPr>
        <w:jc w:val="both"/>
      </w:pPr>
      <w:r>
        <w:rPr>
          <w:rStyle w:val="FootnoteReference"/>
        </w:rPr>
        <w:footnoteRef/>
      </w:r>
      <w:r>
        <w:rPr>
          <w:sz w:val="20"/>
          <w:szCs w:val="20"/>
        </w:rPr>
        <w:t xml:space="preserve"> I.e., a precedent specifically and intentionally </w:t>
      </w:r>
      <w:r>
        <w:rPr>
          <w:i/>
          <w:iCs/>
          <w:sz w:val="20"/>
          <w:szCs w:val="20"/>
        </w:rPr>
        <w:t>avoided</w:t>
      </w:r>
      <w:r>
        <w:rPr>
          <w:sz w:val="20"/>
          <w:szCs w:val="20"/>
        </w:rPr>
        <w:t>.</w:t>
      </w:r>
    </w:p>
  </w:footnote>
  <w:footnote w:id="9">
    <w:p w14:paraId="6B30B936" w14:textId="77777777" w:rsidR="006E2F88" w:rsidRDefault="00000000">
      <w:pPr>
        <w:jc w:val="both"/>
      </w:pPr>
      <w:r>
        <w:rPr>
          <w:rStyle w:val="FootnoteReference"/>
        </w:rPr>
        <w:footnoteRef/>
      </w:r>
      <w:r>
        <w:rPr>
          <w:sz w:val="20"/>
          <w:szCs w:val="20"/>
        </w:rPr>
        <w:t xml:space="preserve"> Note that neither of these two published articles includes the archival material from my dissertation, which is probably the most interesting material. This archival material is the core of this book manuscript. Thus, while these articles are related to the book, virtually all the material will be new.</w:t>
      </w:r>
    </w:p>
  </w:footnote>
  <w:footnote w:id="10">
    <w:p w14:paraId="473E3631" w14:textId="77777777" w:rsidR="006E2F88" w:rsidRDefault="00000000">
      <w:pPr>
        <w:jc w:val="both"/>
      </w:pPr>
      <w:r>
        <w:rPr>
          <w:rStyle w:val="FootnoteReference"/>
        </w:rPr>
        <w:footnoteRef/>
      </w:r>
      <w:r>
        <w:rPr>
          <w:sz w:val="20"/>
          <w:szCs w:val="20"/>
        </w:rPr>
        <w:t xml:space="preserve"> For example, while the book is related to a rather technical article I published in the </w:t>
      </w:r>
      <w:r>
        <w:rPr>
          <w:i/>
          <w:iCs/>
          <w:sz w:val="20"/>
          <w:szCs w:val="20"/>
        </w:rPr>
        <w:t>American Political Science Review</w:t>
      </w:r>
      <w:r>
        <w:rPr>
          <w:sz w:val="20"/>
          <w:szCs w:val="20"/>
        </w:rPr>
        <w:t>, the book will not have any formal theory and will focus instead on the historical material and archival research; it is thus intended to be understood by a broad audience. While data are introduced in Chapter 2, the most important figure is a scatter plot easily understood by even those with no background in math or statistics. Chapter 5 will have limited statistics, presented in a way that is easy for non-technical readers to understand (e.g., a simple marginal effects plot showing that increasing congressional support yields an increased likelihood of victory).</w:t>
      </w:r>
    </w:p>
  </w:footnote>
  <w:footnote w:id="11">
    <w:p w14:paraId="38B1CD18" w14:textId="77777777" w:rsidR="006E2F88" w:rsidRDefault="00000000">
      <w:pPr>
        <w:jc w:val="both"/>
      </w:pPr>
      <w:r>
        <w:rPr>
          <w:rStyle w:val="FootnoteReference"/>
        </w:rPr>
        <w:footnoteRef/>
      </w:r>
      <w:r>
        <w:rPr>
          <w:sz w:val="20"/>
          <w:szCs w:val="20"/>
        </w:rPr>
        <w:t xml:space="preserve"> It should be noted that concerns over President Trump are not fully unique, and similar concerns have been raised about other presidents and presidential candidates in the past.</w:t>
      </w:r>
    </w:p>
  </w:footnote>
  <w:footnote w:id="12">
    <w:p w14:paraId="1815DCA6" w14:textId="77777777" w:rsidR="006E2F88" w:rsidRDefault="00000000">
      <w:pPr>
        <w:jc w:val="both"/>
      </w:pPr>
      <w:r>
        <w:rPr>
          <w:rStyle w:val="FootnoteReference"/>
        </w:rPr>
        <w:footnoteRef/>
      </w:r>
      <w:r>
        <w:rPr>
          <w:sz w:val="20"/>
          <w:szCs w:val="20"/>
        </w:rPr>
        <w:t xml:space="preserve"> Another related work is Rachel Myrick’s recent </w:t>
      </w:r>
      <w:r>
        <w:rPr>
          <w:i/>
          <w:iCs/>
          <w:sz w:val="20"/>
          <w:szCs w:val="20"/>
        </w:rPr>
        <w:t>Polarization and International Politics</w:t>
      </w:r>
      <w:r>
        <w:rPr>
          <w:sz w:val="20"/>
          <w:szCs w:val="20"/>
        </w:rPr>
        <w:t xml:space="preserve"> (Princeton U. Press, 2025). While Myrick gives focus to the U.S. Congress, little attention is given to war powers issues. Hence, while the topic is related, it is quite distinct from the constitutional issue at the core of this manuscript.</w:t>
      </w:r>
    </w:p>
  </w:footnote>
  <w:footnote w:id="13">
    <w:p w14:paraId="19BE985C" w14:textId="77777777" w:rsidR="006E2F88" w:rsidRDefault="00000000">
      <w:pPr>
        <w:jc w:val="both"/>
      </w:pPr>
      <w:r>
        <w:rPr>
          <w:rStyle w:val="FootnoteReference"/>
        </w:rPr>
        <w:footnoteRef/>
      </w:r>
      <w:r>
        <w:rPr>
          <w:sz w:val="20"/>
          <w:szCs w:val="20"/>
        </w:rPr>
        <w:t xml:space="preserve"> Douglas Kriner’s </w:t>
      </w:r>
      <w:r>
        <w:rPr>
          <w:i/>
          <w:iCs/>
          <w:sz w:val="20"/>
          <w:szCs w:val="20"/>
        </w:rPr>
        <w:t>After the Rubicon</w:t>
      </w:r>
      <w:r>
        <w:rPr>
          <w:sz w:val="20"/>
          <w:szCs w:val="20"/>
        </w:rPr>
        <w:t xml:space="preserve"> (U. Chicago Press, 2010) makes a similar argument, but like Howell and Pevehouse’s book does not focus on formal authorization from Congress or the international effects of the war powers.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BC4FE0"/>
    <w:multiLevelType w:val="hybridMultilevel"/>
    <w:tmpl w:val="F7ECD4FC"/>
    <w:lvl w:ilvl="0" w:tplc="766A5CB4">
      <w:start w:val="1"/>
      <w:numFmt w:val="bullet"/>
      <w:lvlText w:val="●"/>
      <w:lvlJc w:val="left"/>
      <w:pPr>
        <w:ind w:left="720" w:hanging="360"/>
      </w:pPr>
    </w:lvl>
    <w:lvl w:ilvl="1" w:tplc="DF0A2504">
      <w:start w:val="1"/>
      <w:numFmt w:val="bullet"/>
      <w:lvlText w:val="○"/>
      <w:lvlJc w:val="left"/>
      <w:pPr>
        <w:ind w:left="1440" w:hanging="360"/>
      </w:pPr>
    </w:lvl>
    <w:lvl w:ilvl="2" w:tplc="8B140256">
      <w:start w:val="1"/>
      <w:numFmt w:val="bullet"/>
      <w:lvlText w:val="■"/>
      <w:lvlJc w:val="left"/>
      <w:pPr>
        <w:ind w:left="2160" w:hanging="360"/>
      </w:pPr>
    </w:lvl>
    <w:lvl w:ilvl="3" w:tplc="DA36D7F0">
      <w:start w:val="1"/>
      <w:numFmt w:val="bullet"/>
      <w:lvlText w:val="●"/>
      <w:lvlJc w:val="left"/>
      <w:pPr>
        <w:ind w:left="2880" w:hanging="360"/>
      </w:pPr>
    </w:lvl>
    <w:lvl w:ilvl="4" w:tplc="CCE05F14">
      <w:start w:val="1"/>
      <w:numFmt w:val="bullet"/>
      <w:lvlText w:val="○"/>
      <w:lvlJc w:val="left"/>
      <w:pPr>
        <w:ind w:left="3600" w:hanging="360"/>
      </w:pPr>
    </w:lvl>
    <w:lvl w:ilvl="5" w:tplc="EF4CEBB0">
      <w:start w:val="1"/>
      <w:numFmt w:val="bullet"/>
      <w:lvlText w:val="■"/>
      <w:lvlJc w:val="left"/>
      <w:pPr>
        <w:ind w:left="4320" w:hanging="360"/>
      </w:pPr>
    </w:lvl>
    <w:lvl w:ilvl="6" w:tplc="4DE6F44E">
      <w:start w:val="1"/>
      <w:numFmt w:val="bullet"/>
      <w:lvlText w:val="●"/>
      <w:lvlJc w:val="left"/>
      <w:pPr>
        <w:ind w:left="5040" w:hanging="360"/>
      </w:pPr>
    </w:lvl>
    <w:lvl w:ilvl="7" w:tplc="1BDC30BC">
      <w:start w:val="1"/>
      <w:numFmt w:val="bullet"/>
      <w:lvlText w:val="●"/>
      <w:lvlJc w:val="left"/>
      <w:pPr>
        <w:ind w:left="5760" w:hanging="360"/>
      </w:pPr>
    </w:lvl>
    <w:lvl w:ilvl="8" w:tplc="F0E88F26">
      <w:start w:val="1"/>
      <w:numFmt w:val="bullet"/>
      <w:lvlText w:val="●"/>
      <w:lvlJc w:val="left"/>
      <w:pPr>
        <w:ind w:left="6480" w:hanging="360"/>
      </w:pPr>
    </w:lvl>
  </w:abstractNum>
  <w:abstractNum w:abstractNumId="1" w15:restartNumberingAfterBreak="0">
    <w:nsid w:val="2B8557C0"/>
    <w:multiLevelType w:val="hybridMultilevel"/>
    <w:tmpl w:val="5DF63B5E"/>
    <w:lvl w:ilvl="0" w:tplc="D70C82E8">
      <w:start w:val="1"/>
      <w:numFmt w:val="bullet"/>
      <w:lvlText w:val="•"/>
      <w:lvlJc w:val="left"/>
      <w:pPr>
        <w:ind w:left="720" w:hanging="360"/>
      </w:pPr>
      <w:rPr>
        <w:rFonts w:ascii="Times New Roman" w:eastAsia="Times New Roman" w:hAnsi="Times New Roman" w:cs="Times New Roman"/>
      </w:rPr>
    </w:lvl>
    <w:lvl w:ilvl="1" w:tplc="76B2FFD6">
      <w:numFmt w:val="decimal"/>
      <w:lvlText w:val=""/>
      <w:lvlJc w:val="left"/>
    </w:lvl>
    <w:lvl w:ilvl="2" w:tplc="4694F576">
      <w:numFmt w:val="decimal"/>
      <w:lvlText w:val=""/>
      <w:lvlJc w:val="left"/>
    </w:lvl>
    <w:lvl w:ilvl="3" w:tplc="4024FDAC">
      <w:numFmt w:val="decimal"/>
      <w:lvlText w:val=""/>
      <w:lvlJc w:val="left"/>
    </w:lvl>
    <w:lvl w:ilvl="4" w:tplc="5A7E13CC">
      <w:numFmt w:val="decimal"/>
      <w:lvlText w:val=""/>
      <w:lvlJc w:val="left"/>
    </w:lvl>
    <w:lvl w:ilvl="5" w:tplc="FE4C502E">
      <w:numFmt w:val="decimal"/>
      <w:lvlText w:val=""/>
      <w:lvlJc w:val="left"/>
    </w:lvl>
    <w:lvl w:ilvl="6" w:tplc="4DE26516">
      <w:numFmt w:val="decimal"/>
      <w:lvlText w:val=""/>
      <w:lvlJc w:val="left"/>
    </w:lvl>
    <w:lvl w:ilvl="7" w:tplc="779649A0">
      <w:numFmt w:val="decimal"/>
      <w:lvlText w:val=""/>
      <w:lvlJc w:val="left"/>
    </w:lvl>
    <w:lvl w:ilvl="8" w:tplc="EAAAFB32">
      <w:numFmt w:val="decimal"/>
      <w:lvlText w:val=""/>
      <w:lvlJc w:val="left"/>
    </w:lvl>
  </w:abstractNum>
  <w:num w:numId="1" w16cid:durableId="297153541">
    <w:abstractNumId w:val="0"/>
    <w:lvlOverride w:ilvl="0">
      <w:startOverride w:val="1"/>
    </w:lvlOverride>
  </w:num>
  <w:num w:numId="2" w16cid:durableId="273443852">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F88"/>
    <w:rsid w:val="001D13D7"/>
    <w:rsid w:val="00210687"/>
    <w:rsid w:val="0055346B"/>
    <w:rsid w:val="006E2F88"/>
    <w:rsid w:val="00720EB6"/>
    <w:rsid w:val="00A32A86"/>
    <w:rsid w:val="00A93785"/>
    <w:rsid w:val="00B75274"/>
    <w:rsid w:val="00D54846"/>
    <w:rsid w:val="00F23B7F"/>
    <w:rsid w:val="00F535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5580A02"/>
  <w15:docId w15:val="{FCF47EC6-1456-274B-9CB2-609135DDE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unhideWhenUsed/>
    <w:rPr>
      <w:rFonts w:ascii="Times New Roman" w:eastAsia="Times New Roman" w:hAnsi="Times New Roman" w:cs="Times New Roman"/>
      <w:vertAlign w:val="superscript"/>
    </w:rPr>
  </w:style>
  <w:style w:type="paragraph" w:styleId="FootnoteText">
    <w:name w:val="footnote text"/>
    <w:link w:val="FootnoteTextCha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5534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atrickhulme.com/dat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14</Pages>
  <Words>5746</Words>
  <Characters>32757</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The Veneer of the Imperial Presidency — Book Proposal (September 2026)</vt:lpstr>
    </vt:vector>
  </TitlesOfParts>
  <Company/>
  <LinksUpToDate>false</LinksUpToDate>
  <CharactersWithSpaces>38427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Veneer of the Imperial Presidency — Book Proposal (September 2026)</dc:title>
  <dc:creator>M. Patrick Hulme</dc:creator>
  <cp:lastModifiedBy>Hulme, Patrick</cp:lastModifiedBy>
  <cp:revision>2</cp:revision>
  <dcterms:created xsi:type="dcterms:W3CDTF">2026-09-18T17:38:00Z</dcterms:created>
  <dcterms:modified xsi:type="dcterms:W3CDTF">2026-09-18T17:38:00Z</dcterms:modified>
</cp:coreProperties>
</file>